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SimSun" w:hAnsi="Arial" w:cs="Times New Roman"/>
          <w:color w:val="auto"/>
          <w:sz w:val="24"/>
          <w:szCs w:val="20"/>
        </w:rPr>
        <w:id w:val="-1936284435"/>
        <w:docPartObj>
          <w:docPartGallery w:val="Table of Contents"/>
          <w:docPartUnique/>
        </w:docPartObj>
      </w:sdtPr>
      <w:sdtEndPr>
        <w:rPr>
          <w:b/>
          <w:bCs/>
          <w:noProof/>
        </w:rPr>
      </w:sdtEndPr>
      <w:sdtContent>
        <w:sdt>
          <w:sdtPr>
            <w:rPr>
              <w:rFonts w:ascii="Arial" w:eastAsia="SimSun" w:hAnsi="Arial" w:cs="Times New Roman"/>
              <w:color w:val="auto"/>
              <w:sz w:val="24"/>
              <w:szCs w:val="20"/>
            </w:rPr>
            <w:id w:val="-1353950660"/>
            <w:docPartObj>
              <w:docPartGallery w:val="Table of Contents"/>
              <w:docPartUnique/>
            </w:docPartObj>
          </w:sdtPr>
          <w:sdtEndPr>
            <w:rPr>
              <w:b/>
              <w:bCs/>
              <w:noProof/>
            </w:rPr>
          </w:sdtEndPr>
          <w:sdtContent>
            <w:p w14:paraId="6DBC3374" w14:textId="77777777" w:rsidR="00F37408" w:rsidRPr="00C444CC" w:rsidRDefault="00F37408" w:rsidP="00F37408">
              <w:pPr>
                <w:pStyle w:val="TOCHeading"/>
                <w:ind w:left="432" w:hanging="432"/>
                <w:rPr>
                  <w:rFonts w:ascii="Arial" w:hAnsi="Arial" w:cs="Arial"/>
                </w:rPr>
              </w:pPr>
              <w:r w:rsidRPr="00C444CC">
                <w:rPr>
                  <w:rFonts w:ascii="Arial" w:hAnsi="Arial" w:cs="Arial"/>
                </w:rPr>
                <w:t>Table of Contents</w:t>
              </w:r>
            </w:p>
            <w:p w14:paraId="0C4CBB16" w14:textId="74BB85C2" w:rsidR="001D21C8" w:rsidRDefault="00957996">
              <w:pPr>
                <w:pStyle w:val="TOC1"/>
                <w:tabs>
                  <w:tab w:val="left" w:pos="720"/>
                  <w:tab w:val="right" w:leader="dot" w:pos="10457"/>
                </w:tabs>
                <w:rPr>
                  <w:rFonts w:asciiTheme="minorHAnsi" w:eastAsiaTheme="minorEastAsia" w:hAnsiTheme="minorHAnsi" w:cstheme="minorBidi"/>
                  <w:noProof/>
                  <w:kern w:val="2"/>
                  <w:szCs w:val="24"/>
                  <w:lang w:eastAsia="zh-CN"/>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58626676" w:history="1">
                <w:r w:rsidR="001D21C8" w:rsidRPr="00413C13">
                  <w:rPr>
                    <w:rStyle w:val="Hyperlink"/>
                    <w:noProof/>
                  </w:rPr>
                  <w:t>1.</w:t>
                </w:r>
                <w:r w:rsidR="001D21C8">
                  <w:rPr>
                    <w:rFonts w:asciiTheme="minorHAnsi" w:eastAsiaTheme="minorEastAsia" w:hAnsiTheme="minorHAnsi" w:cstheme="minorBidi"/>
                    <w:noProof/>
                    <w:kern w:val="2"/>
                    <w:szCs w:val="24"/>
                    <w:lang w:eastAsia="zh-CN"/>
                    <w14:ligatures w14:val="standardContextual"/>
                  </w:rPr>
                  <w:tab/>
                </w:r>
                <w:r w:rsidR="001D21C8" w:rsidRPr="00413C13">
                  <w:rPr>
                    <w:rStyle w:val="Hyperlink"/>
                    <w:noProof/>
                  </w:rPr>
                  <w:t>Assessment Protocol</w:t>
                </w:r>
                <w:r w:rsidR="001D21C8">
                  <w:rPr>
                    <w:noProof/>
                    <w:webHidden/>
                  </w:rPr>
                  <w:tab/>
                </w:r>
                <w:r w:rsidR="001D21C8">
                  <w:rPr>
                    <w:noProof/>
                    <w:webHidden/>
                  </w:rPr>
                  <w:fldChar w:fldCharType="begin"/>
                </w:r>
                <w:r w:rsidR="001D21C8">
                  <w:rPr>
                    <w:noProof/>
                    <w:webHidden/>
                  </w:rPr>
                  <w:instrText xml:space="preserve"> PAGEREF _Toc158626676 \h </w:instrText>
                </w:r>
                <w:r w:rsidR="001D21C8">
                  <w:rPr>
                    <w:noProof/>
                    <w:webHidden/>
                  </w:rPr>
                </w:r>
                <w:r w:rsidR="001D21C8">
                  <w:rPr>
                    <w:noProof/>
                    <w:webHidden/>
                  </w:rPr>
                  <w:fldChar w:fldCharType="separate"/>
                </w:r>
                <w:r w:rsidR="001D21C8">
                  <w:rPr>
                    <w:noProof/>
                    <w:webHidden/>
                  </w:rPr>
                  <w:t>2</w:t>
                </w:r>
                <w:r w:rsidR="001D21C8">
                  <w:rPr>
                    <w:noProof/>
                    <w:webHidden/>
                  </w:rPr>
                  <w:fldChar w:fldCharType="end"/>
                </w:r>
              </w:hyperlink>
            </w:p>
            <w:p w14:paraId="76B1E819" w14:textId="35B365FF"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77" w:history="1">
                <w:r w:rsidR="001D21C8" w:rsidRPr="00413C13">
                  <w:rPr>
                    <w:rStyle w:val="Hyperlink"/>
                    <w:noProof/>
                  </w:rPr>
                  <w:t>1.1.</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rPr>
                  <w:t>Assessment Timeline</w:t>
                </w:r>
                <w:r w:rsidR="001D21C8">
                  <w:rPr>
                    <w:noProof/>
                    <w:webHidden/>
                  </w:rPr>
                  <w:tab/>
                </w:r>
                <w:r w:rsidR="001D21C8">
                  <w:rPr>
                    <w:noProof/>
                    <w:webHidden/>
                  </w:rPr>
                  <w:fldChar w:fldCharType="begin"/>
                </w:r>
                <w:r w:rsidR="001D21C8">
                  <w:rPr>
                    <w:noProof/>
                    <w:webHidden/>
                  </w:rPr>
                  <w:instrText xml:space="preserve"> PAGEREF _Toc158626677 \h </w:instrText>
                </w:r>
                <w:r w:rsidR="001D21C8">
                  <w:rPr>
                    <w:noProof/>
                    <w:webHidden/>
                  </w:rPr>
                </w:r>
                <w:r w:rsidR="001D21C8">
                  <w:rPr>
                    <w:noProof/>
                    <w:webHidden/>
                  </w:rPr>
                  <w:fldChar w:fldCharType="separate"/>
                </w:r>
                <w:r w:rsidR="001D21C8">
                  <w:rPr>
                    <w:noProof/>
                    <w:webHidden/>
                  </w:rPr>
                  <w:t>2</w:t>
                </w:r>
                <w:r w:rsidR="001D21C8">
                  <w:rPr>
                    <w:noProof/>
                    <w:webHidden/>
                  </w:rPr>
                  <w:fldChar w:fldCharType="end"/>
                </w:r>
              </w:hyperlink>
            </w:p>
            <w:p w14:paraId="2221EE43" w14:textId="23A7602F" w:rsidR="001D21C8" w:rsidRDefault="00FE5107">
              <w:pPr>
                <w:pStyle w:val="TOC1"/>
                <w:tabs>
                  <w:tab w:val="left" w:pos="720"/>
                  <w:tab w:val="right" w:leader="dot" w:pos="10457"/>
                </w:tabs>
                <w:rPr>
                  <w:rFonts w:asciiTheme="minorHAnsi" w:eastAsiaTheme="minorEastAsia" w:hAnsiTheme="minorHAnsi" w:cstheme="minorBidi"/>
                  <w:noProof/>
                  <w:kern w:val="2"/>
                  <w:szCs w:val="24"/>
                  <w:lang w:eastAsia="zh-CN"/>
                  <w14:ligatures w14:val="standardContextual"/>
                </w:rPr>
              </w:pPr>
              <w:hyperlink w:anchor="_Toc158626678" w:history="1">
                <w:r w:rsidR="001D21C8" w:rsidRPr="00413C13">
                  <w:rPr>
                    <w:rStyle w:val="Hyperlink"/>
                    <w:noProof/>
                    <w:lang w:eastAsia="zh-CN"/>
                  </w:rPr>
                  <w:t>2.</w:t>
                </w:r>
                <w:r w:rsidR="001D21C8">
                  <w:rPr>
                    <w:rFonts w:asciiTheme="minorHAnsi" w:eastAsiaTheme="minorEastAsia" w:hAnsiTheme="minorHAnsi" w:cstheme="minorBidi"/>
                    <w:noProof/>
                    <w:kern w:val="2"/>
                    <w:szCs w:val="24"/>
                    <w:lang w:eastAsia="zh-CN"/>
                    <w14:ligatures w14:val="standardContextual"/>
                  </w:rPr>
                  <w:tab/>
                </w:r>
                <w:r w:rsidR="001D21C8" w:rsidRPr="00413C13">
                  <w:rPr>
                    <w:rStyle w:val="Hyperlink"/>
                    <w:noProof/>
                    <w:lang w:eastAsia="zh-CN"/>
                  </w:rPr>
                  <w:t>Better Cotton Registration</w:t>
                </w:r>
                <w:r w:rsidR="001D21C8">
                  <w:rPr>
                    <w:noProof/>
                    <w:webHidden/>
                  </w:rPr>
                  <w:tab/>
                </w:r>
                <w:r w:rsidR="001D21C8">
                  <w:rPr>
                    <w:noProof/>
                    <w:webHidden/>
                  </w:rPr>
                  <w:fldChar w:fldCharType="begin"/>
                </w:r>
                <w:r w:rsidR="001D21C8">
                  <w:rPr>
                    <w:noProof/>
                    <w:webHidden/>
                  </w:rPr>
                  <w:instrText xml:space="preserve"> PAGEREF _Toc158626678 \h </w:instrText>
                </w:r>
                <w:r w:rsidR="001D21C8">
                  <w:rPr>
                    <w:noProof/>
                    <w:webHidden/>
                  </w:rPr>
                </w:r>
                <w:r w:rsidR="001D21C8">
                  <w:rPr>
                    <w:noProof/>
                    <w:webHidden/>
                  </w:rPr>
                  <w:fldChar w:fldCharType="separate"/>
                </w:r>
                <w:r w:rsidR="001D21C8">
                  <w:rPr>
                    <w:noProof/>
                    <w:webHidden/>
                  </w:rPr>
                  <w:t>2</w:t>
                </w:r>
                <w:r w:rsidR="001D21C8">
                  <w:rPr>
                    <w:noProof/>
                    <w:webHidden/>
                  </w:rPr>
                  <w:fldChar w:fldCharType="end"/>
                </w:r>
              </w:hyperlink>
            </w:p>
            <w:p w14:paraId="0ABE3877" w14:textId="3CD16033"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79" w:history="1">
                <w:r w:rsidR="001D21C8" w:rsidRPr="00413C13">
                  <w:rPr>
                    <w:rStyle w:val="Hyperlink"/>
                    <w:noProof/>
                    <w:lang w:eastAsia="zh-CN"/>
                  </w:rPr>
                  <w:t>2.1.</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Better Cotton CoC Registration Process</w:t>
                </w:r>
                <w:r w:rsidR="001D21C8">
                  <w:rPr>
                    <w:noProof/>
                    <w:webHidden/>
                  </w:rPr>
                  <w:tab/>
                </w:r>
                <w:r w:rsidR="001D21C8">
                  <w:rPr>
                    <w:noProof/>
                    <w:webHidden/>
                  </w:rPr>
                  <w:fldChar w:fldCharType="begin"/>
                </w:r>
                <w:r w:rsidR="001D21C8">
                  <w:rPr>
                    <w:noProof/>
                    <w:webHidden/>
                  </w:rPr>
                  <w:instrText xml:space="preserve"> PAGEREF _Toc158626679 \h </w:instrText>
                </w:r>
                <w:r w:rsidR="001D21C8">
                  <w:rPr>
                    <w:noProof/>
                    <w:webHidden/>
                  </w:rPr>
                </w:r>
                <w:r w:rsidR="001D21C8">
                  <w:rPr>
                    <w:noProof/>
                    <w:webHidden/>
                  </w:rPr>
                  <w:fldChar w:fldCharType="separate"/>
                </w:r>
                <w:r w:rsidR="001D21C8">
                  <w:rPr>
                    <w:noProof/>
                    <w:webHidden/>
                  </w:rPr>
                  <w:t>2</w:t>
                </w:r>
                <w:r w:rsidR="001D21C8">
                  <w:rPr>
                    <w:noProof/>
                    <w:webHidden/>
                  </w:rPr>
                  <w:fldChar w:fldCharType="end"/>
                </w:r>
              </w:hyperlink>
            </w:p>
            <w:p w14:paraId="3E88E294" w14:textId="29D591AE"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0" w:history="1">
                <w:r w:rsidR="001D21C8" w:rsidRPr="00413C13">
                  <w:rPr>
                    <w:rStyle w:val="Hyperlink"/>
                    <w:noProof/>
                  </w:rPr>
                  <w:t>2.2.</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rPr>
                  <w:t>Category Risk Level Assignments</w:t>
                </w:r>
                <w:r w:rsidR="001D21C8">
                  <w:rPr>
                    <w:noProof/>
                    <w:webHidden/>
                  </w:rPr>
                  <w:tab/>
                </w:r>
                <w:r w:rsidR="001D21C8">
                  <w:rPr>
                    <w:noProof/>
                    <w:webHidden/>
                  </w:rPr>
                  <w:fldChar w:fldCharType="begin"/>
                </w:r>
                <w:r w:rsidR="001D21C8">
                  <w:rPr>
                    <w:noProof/>
                    <w:webHidden/>
                  </w:rPr>
                  <w:instrText xml:space="preserve"> PAGEREF _Toc158626680 \h </w:instrText>
                </w:r>
                <w:r w:rsidR="001D21C8">
                  <w:rPr>
                    <w:noProof/>
                    <w:webHidden/>
                  </w:rPr>
                </w:r>
                <w:r w:rsidR="001D21C8">
                  <w:rPr>
                    <w:noProof/>
                    <w:webHidden/>
                  </w:rPr>
                  <w:fldChar w:fldCharType="separate"/>
                </w:r>
                <w:r w:rsidR="001D21C8">
                  <w:rPr>
                    <w:noProof/>
                    <w:webHidden/>
                  </w:rPr>
                  <w:t>2</w:t>
                </w:r>
                <w:r w:rsidR="001D21C8">
                  <w:rPr>
                    <w:noProof/>
                    <w:webHidden/>
                  </w:rPr>
                  <w:fldChar w:fldCharType="end"/>
                </w:r>
              </w:hyperlink>
            </w:p>
            <w:p w14:paraId="24692E32" w14:textId="012E09E9"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1" w:history="1">
                <w:r w:rsidR="001D21C8" w:rsidRPr="00413C13">
                  <w:rPr>
                    <w:rStyle w:val="Hyperlink"/>
                    <w:noProof/>
                    <w:lang w:eastAsia="zh-CN"/>
                  </w:rPr>
                  <w:t>2.3.</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Commissioning an Third Party Verifier (3PV)</w:t>
                </w:r>
                <w:r w:rsidR="001D21C8">
                  <w:rPr>
                    <w:noProof/>
                    <w:webHidden/>
                  </w:rPr>
                  <w:tab/>
                </w:r>
                <w:r w:rsidR="001D21C8">
                  <w:rPr>
                    <w:noProof/>
                    <w:webHidden/>
                  </w:rPr>
                  <w:fldChar w:fldCharType="begin"/>
                </w:r>
                <w:r w:rsidR="001D21C8">
                  <w:rPr>
                    <w:noProof/>
                    <w:webHidden/>
                  </w:rPr>
                  <w:instrText xml:space="preserve"> PAGEREF _Toc158626681 \h </w:instrText>
                </w:r>
                <w:r w:rsidR="001D21C8">
                  <w:rPr>
                    <w:noProof/>
                    <w:webHidden/>
                  </w:rPr>
                </w:r>
                <w:r w:rsidR="001D21C8">
                  <w:rPr>
                    <w:noProof/>
                    <w:webHidden/>
                  </w:rPr>
                  <w:fldChar w:fldCharType="separate"/>
                </w:r>
                <w:r w:rsidR="001D21C8">
                  <w:rPr>
                    <w:noProof/>
                    <w:webHidden/>
                  </w:rPr>
                  <w:t>3</w:t>
                </w:r>
                <w:r w:rsidR="001D21C8">
                  <w:rPr>
                    <w:noProof/>
                    <w:webHidden/>
                  </w:rPr>
                  <w:fldChar w:fldCharType="end"/>
                </w:r>
              </w:hyperlink>
            </w:p>
            <w:p w14:paraId="721DF340" w14:textId="2A4665E8" w:rsidR="001D21C8" w:rsidRDefault="00FE5107">
              <w:pPr>
                <w:pStyle w:val="TOC1"/>
                <w:tabs>
                  <w:tab w:val="left" w:pos="720"/>
                  <w:tab w:val="right" w:leader="dot" w:pos="10457"/>
                </w:tabs>
                <w:rPr>
                  <w:rFonts w:asciiTheme="minorHAnsi" w:eastAsiaTheme="minorEastAsia" w:hAnsiTheme="minorHAnsi" w:cstheme="minorBidi"/>
                  <w:noProof/>
                  <w:kern w:val="2"/>
                  <w:szCs w:val="24"/>
                  <w:lang w:eastAsia="zh-CN"/>
                  <w14:ligatures w14:val="standardContextual"/>
                </w:rPr>
              </w:pPr>
              <w:hyperlink w:anchor="_Toc158626682" w:history="1">
                <w:r w:rsidR="001D21C8" w:rsidRPr="00413C13">
                  <w:rPr>
                    <w:rStyle w:val="Hyperlink"/>
                    <w:noProof/>
                    <w:lang w:eastAsia="zh-CN"/>
                  </w:rPr>
                  <w:t>3.</w:t>
                </w:r>
                <w:r w:rsidR="001D21C8">
                  <w:rPr>
                    <w:rFonts w:asciiTheme="minorHAnsi" w:eastAsiaTheme="minorEastAsia" w:hAnsiTheme="minorHAnsi" w:cstheme="minorBidi"/>
                    <w:noProof/>
                    <w:kern w:val="2"/>
                    <w:szCs w:val="24"/>
                    <w:lang w:eastAsia="zh-CN"/>
                    <w14:ligatures w14:val="standardContextual"/>
                  </w:rPr>
                  <w:tab/>
                </w:r>
                <w:r w:rsidR="001D21C8" w:rsidRPr="00413C13">
                  <w:rPr>
                    <w:rStyle w:val="Hyperlink"/>
                    <w:noProof/>
                    <w:lang w:eastAsia="zh-CN"/>
                  </w:rPr>
                  <w:t>IDFL Application</w:t>
                </w:r>
                <w:r w:rsidR="001D21C8">
                  <w:rPr>
                    <w:noProof/>
                    <w:webHidden/>
                  </w:rPr>
                  <w:tab/>
                </w:r>
                <w:r w:rsidR="001D21C8">
                  <w:rPr>
                    <w:noProof/>
                    <w:webHidden/>
                  </w:rPr>
                  <w:fldChar w:fldCharType="begin"/>
                </w:r>
                <w:r w:rsidR="001D21C8">
                  <w:rPr>
                    <w:noProof/>
                    <w:webHidden/>
                  </w:rPr>
                  <w:instrText xml:space="preserve"> PAGEREF _Toc158626682 \h </w:instrText>
                </w:r>
                <w:r w:rsidR="001D21C8">
                  <w:rPr>
                    <w:noProof/>
                    <w:webHidden/>
                  </w:rPr>
                </w:r>
                <w:r w:rsidR="001D21C8">
                  <w:rPr>
                    <w:noProof/>
                    <w:webHidden/>
                  </w:rPr>
                  <w:fldChar w:fldCharType="separate"/>
                </w:r>
                <w:r w:rsidR="001D21C8">
                  <w:rPr>
                    <w:noProof/>
                    <w:webHidden/>
                  </w:rPr>
                  <w:t>3</w:t>
                </w:r>
                <w:r w:rsidR="001D21C8">
                  <w:rPr>
                    <w:noProof/>
                    <w:webHidden/>
                  </w:rPr>
                  <w:fldChar w:fldCharType="end"/>
                </w:r>
              </w:hyperlink>
            </w:p>
            <w:p w14:paraId="0209DC35" w14:textId="3EF293F4"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3" w:history="1">
                <w:r w:rsidR="001D21C8" w:rsidRPr="00413C13">
                  <w:rPr>
                    <w:rStyle w:val="Hyperlink"/>
                    <w:noProof/>
                  </w:rPr>
                  <w:t>3.1.</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rPr>
                  <w:t>IDFL Services</w:t>
                </w:r>
                <w:r w:rsidR="001D21C8">
                  <w:rPr>
                    <w:noProof/>
                    <w:webHidden/>
                  </w:rPr>
                  <w:tab/>
                </w:r>
                <w:r w:rsidR="001D21C8">
                  <w:rPr>
                    <w:noProof/>
                    <w:webHidden/>
                  </w:rPr>
                  <w:fldChar w:fldCharType="begin"/>
                </w:r>
                <w:r w:rsidR="001D21C8">
                  <w:rPr>
                    <w:noProof/>
                    <w:webHidden/>
                  </w:rPr>
                  <w:instrText xml:space="preserve"> PAGEREF _Toc158626683 \h </w:instrText>
                </w:r>
                <w:r w:rsidR="001D21C8">
                  <w:rPr>
                    <w:noProof/>
                    <w:webHidden/>
                  </w:rPr>
                </w:r>
                <w:r w:rsidR="001D21C8">
                  <w:rPr>
                    <w:noProof/>
                    <w:webHidden/>
                  </w:rPr>
                  <w:fldChar w:fldCharType="separate"/>
                </w:r>
                <w:r w:rsidR="001D21C8">
                  <w:rPr>
                    <w:noProof/>
                    <w:webHidden/>
                  </w:rPr>
                  <w:t>3</w:t>
                </w:r>
                <w:r w:rsidR="001D21C8">
                  <w:rPr>
                    <w:noProof/>
                    <w:webHidden/>
                  </w:rPr>
                  <w:fldChar w:fldCharType="end"/>
                </w:r>
              </w:hyperlink>
            </w:p>
            <w:p w14:paraId="4F519DC4" w14:textId="1E5A2838"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4" w:history="1">
                <w:r w:rsidR="001D21C8" w:rsidRPr="00413C13">
                  <w:rPr>
                    <w:rStyle w:val="Hyperlink"/>
                    <w:noProof/>
                    <w:lang w:eastAsia="zh-CN"/>
                  </w:rPr>
                  <w:t>3.2.</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Application Review</w:t>
                </w:r>
                <w:r w:rsidR="001D21C8">
                  <w:rPr>
                    <w:noProof/>
                    <w:webHidden/>
                  </w:rPr>
                  <w:tab/>
                </w:r>
                <w:r w:rsidR="001D21C8">
                  <w:rPr>
                    <w:noProof/>
                    <w:webHidden/>
                  </w:rPr>
                  <w:fldChar w:fldCharType="begin"/>
                </w:r>
                <w:r w:rsidR="001D21C8">
                  <w:rPr>
                    <w:noProof/>
                    <w:webHidden/>
                  </w:rPr>
                  <w:instrText xml:space="preserve"> PAGEREF _Toc158626684 \h </w:instrText>
                </w:r>
                <w:r w:rsidR="001D21C8">
                  <w:rPr>
                    <w:noProof/>
                    <w:webHidden/>
                  </w:rPr>
                </w:r>
                <w:r w:rsidR="001D21C8">
                  <w:rPr>
                    <w:noProof/>
                    <w:webHidden/>
                  </w:rPr>
                  <w:fldChar w:fldCharType="separate"/>
                </w:r>
                <w:r w:rsidR="001D21C8">
                  <w:rPr>
                    <w:noProof/>
                    <w:webHidden/>
                  </w:rPr>
                  <w:t>3</w:t>
                </w:r>
                <w:r w:rsidR="001D21C8">
                  <w:rPr>
                    <w:noProof/>
                    <w:webHidden/>
                  </w:rPr>
                  <w:fldChar w:fldCharType="end"/>
                </w:r>
              </w:hyperlink>
            </w:p>
            <w:p w14:paraId="091E511C" w14:textId="6D2ACCF1"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5" w:history="1">
                <w:r w:rsidR="001D21C8" w:rsidRPr="00413C13">
                  <w:rPr>
                    <w:rStyle w:val="Hyperlink"/>
                    <w:noProof/>
                    <w:lang w:eastAsia="zh-CN"/>
                  </w:rPr>
                  <w:t>3.3.</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Agreement / Quotation</w:t>
                </w:r>
                <w:r w:rsidR="001D21C8">
                  <w:rPr>
                    <w:noProof/>
                    <w:webHidden/>
                  </w:rPr>
                  <w:tab/>
                </w:r>
                <w:r w:rsidR="001D21C8">
                  <w:rPr>
                    <w:noProof/>
                    <w:webHidden/>
                  </w:rPr>
                  <w:fldChar w:fldCharType="begin"/>
                </w:r>
                <w:r w:rsidR="001D21C8">
                  <w:rPr>
                    <w:noProof/>
                    <w:webHidden/>
                  </w:rPr>
                  <w:instrText xml:space="preserve"> PAGEREF _Toc158626685 \h </w:instrText>
                </w:r>
                <w:r w:rsidR="001D21C8">
                  <w:rPr>
                    <w:noProof/>
                    <w:webHidden/>
                  </w:rPr>
                </w:r>
                <w:r w:rsidR="001D21C8">
                  <w:rPr>
                    <w:noProof/>
                    <w:webHidden/>
                  </w:rPr>
                  <w:fldChar w:fldCharType="separate"/>
                </w:r>
                <w:r w:rsidR="001D21C8">
                  <w:rPr>
                    <w:noProof/>
                    <w:webHidden/>
                  </w:rPr>
                  <w:t>3</w:t>
                </w:r>
                <w:r w:rsidR="001D21C8">
                  <w:rPr>
                    <w:noProof/>
                    <w:webHidden/>
                  </w:rPr>
                  <w:fldChar w:fldCharType="end"/>
                </w:r>
              </w:hyperlink>
            </w:p>
            <w:p w14:paraId="6B1A4EAD" w14:textId="476DE84A"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6" w:history="1">
                <w:r w:rsidR="001D21C8" w:rsidRPr="00413C13">
                  <w:rPr>
                    <w:rStyle w:val="Hyperlink"/>
                    <w:noProof/>
                    <w:lang w:eastAsia="zh-CN"/>
                  </w:rPr>
                  <w:t>3.4.</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Pre-Assessment Documentation</w:t>
                </w:r>
                <w:r w:rsidR="001D21C8">
                  <w:rPr>
                    <w:noProof/>
                    <w:webHidden/>
                  </w:rPr>
                  <w:tab/>
                </w:r>
                <w:r w:rsidR="001D21C8">
                  <w:rPr>
                    <w:noProof/>
                    <w:webHidden/>
                  </w:rPr>
                  <w:fldChar w:fldCharType="begin"/>
                </w:r>
                <w:r w:rsidR="001D21C8">
                  <w:rPr>
                    <w:noProof/>
                    <w:webHidden/>
                  </w:rPr>
                  <w:instrText xml:space="preserve"> PAGEREF _Toc158626686 \h </w:instrText>
                </w:r>
                <w:r w:rsidR="001D21C8">
                  <w:rPr>
                    <w:noProof/>
                    <w:webHidden/>
                  </w:rPr>
                </w:r>
                <w:r w:rsidR="001D21C8">
                  <w:rPr>
                    <w:noProof/>
                    <w:webHidden/>
                  </w:rPr>
                  <w:fldChar w:fldCharType="separate"/>
                </w:r>
                <w:r w:rsidR="001D21C8">
                  <w:rPr>
                    <w:noProof/>
                    <w:webHidden/>
                  </w:rPr>
                  <w:t>4</w:t>
                </w:r>
                <w:r w:rsidR="001D21C8">
                  <w:rPr>
                    <w:noProof/>
                    <w:webHidden/>
                  </w:rPr>
                  <w:fldChar w:fldCharType="end"/>
                </w:r>
              </w:hyperlink>
            </w:p>
            <w:p w14:paraId="6B4922D4" w14:textId="22ED838A"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7" w:history="1">
                <w:r w:rsidR="001D21C8" w:rsidRPr="00413C13">
                  <w:rPr>
                    <w:rStyle w:val="Hyperlink"/>
                    <w:noProof/>
                    <w:lang w:eastAsia="zh-CN"/>
                  </w:rPr>
                  <w:t>3.5.</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Onsite Assessment</w:t>
                </w:r>
                <w:r w:rsidR="001D21C8">
                  <w:rPr>
                    <w:noProof/>
                    <w:webHidden/>
                  </w:rPr>
                  <w:tab/>
                </w:r>
                <w:r w:rsidR="001D21C8">
                  <w:rPr>
                    <w:noProof/>
                    <w:webHidden/>
                  </w:rPr>
                  <w:fldChar w:fldCharType="begin"/>
                </w:r>
                <w:r w:rsidR="001D21C8">
                  <w:rPr>
                    <w:noProof/>
                    <w:webHidden/>
                  </w:rPr>
                  <w:instrText xml:space="preserve"> PAGEREF _Toc158626687 \h </w:instrText>
                </w:r>
                <w:r w:rsidR="001D21C8">
                  <w:rPr>
                    <w:noProof/>
                    <w:webHidden/>
                  </w:rPr>
                </w:r>
                <w:r w:rsidR="001D21C8">
                  <w:rPr>
                    <w:noProof/>
                    <w:webHidden/>
                  </w:rPr>
                  <w:fldChar w:fldCharType="separate"/>
                </w:r>
                <w:r w:rsidR="001D21C8">
                  <w:rPr>
                    <w:noProof/>
                    <w:webHidden/>
                  </w:rPr>
                  <w:t>4</w:t>
                </w:r>
                <w:r w:rsidR="001D21C8">
                  <w:rPr>
                    <w:noProof/>
                    <w:webHidden/>
                  </w:rPr>
                  <w:fldChar w:fldCharType="end"/>
                </w:r>
              </w:hyperlink>
            </w:p>
            <w:p w14:paraId="6FCA1314" w14:textId="669F085B"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8" w:history="1">
                <w:r w:rsidR="001D21C8" w:rsidRPr="00413C13">
                  <w:rPr>
                    <w:rStyle w:val="Hyperlink"/>
                    <w:noProof/>
                    <w:lang w:eastAsia="zh-CN"/>
                  </w:rPr>
                  <w:t>3.6.</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Corrective Actions</w:t>
                </w:r>
                <w:r w:rsidR="001D21C8">
                  <w:rPr>
                    <w:noProof/>
                    <w:webHidden/>
                  </w:rPr>
                  <w:tab/>
                </w:r>
                <w:r w:rsidR="001D21C8">
                  <w:rPr>
                    <w:noProof/>
                    <w:webHidden/>
                  </w:rPr>
                  <w:fldChar w:fldCharType="begin"/>
                </w:r>
                <w:r w:rsidR="001D21C8">
                  <w:rPr>
                    <w:noProof/>
                    <w:webHidden/>
                  </w:rPr>
                  <w:instrText xml:space="preserve"> PAGEREF _Toc158626688 \h </w:instrText>
                </w:r>
                <w:r w:rsidR="001D21C8">
                  <w:rPr>
                    <w:noProof/>
                    <w:webHidden/>
                  </w:rPr>
                </w:r>
                <w:r w:rsidR="001D21C8">
                  <w:rPr>
                    <w:noProof/>
                    <w:webHidden/>
                  </w:rPr>
                  <w:fldChar w:fldCharType="separate"/>
                </w:r>
                <w:r w:rsidR="001D21C8">
                  <w:rPr>
                    <w:noProof/>
                    <w:webHidden/>
                  </w:rPr>
                  <w:t>4</w:t>
                </w:r>
                <w:r w:rsidR="001D21C8">
                  <w:rPr>
                    <w:noProof/>
                    <w:webHidden/>
                  </w:rPr>
                  <w:fldChar w:fldCharType="end"/>
                </w:r>
              </w:hyperlink>
            </w:p>
            <w:p w14:paraId="364ACE0B" w14:textId="7367AF7D"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89" w:history="1">
                <w:r w:rsidR="001D21C8" w:rsidRPr="00413C13">
                  <w:rPr>
                    <w:rStyle w:val="Hyperlink"/>
                    <w:noProof/>
                    <w:lang w:eastAsia="zh-CN"/>
                  </w:rPr>
                  <w:t>3.7.</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Assessment Decision</w:t>
                </w:r>
                <w:r w:rsidR="001D21C8">
                  <w:rPr>
                    <w:noProof/>
                    <w:webHidden/>
                  </w:rPr>
                  <w:tab/>
                </w:r>
                <w:r w:rsidR="001D21C8">
                  <w:rPr>
                    <w:noProof/>
                    <w:webHidden/>
                  </w:rPr>
                  <w:fldChar w:fldCharType="begin"/>
                </w:r>
                <w:r w:rsidR="001D21C8">
                  <w:rPr>
                    <w:noProof/>
                    <w:webHidden/>
                  </w:rPr>
                  <w:instrText xml:space="preserve"> PAGEREF _Toc158626689 \h </w:instrText>
                </w:r>
                <w:r w:rsidR="001D21C8">
                  <w:rPr>
                    <w:noProof/>
                    <w:webHidden/>
                  </w:rPr>
                </w:r>
                <w:r w:rsidR="001D21C8">
                  <w:rPr>
                    <w:noProof/>
                    <w:webHidden/>
                  </w:rPr>
                  <w:fldChar w:fldCharType="separate"/>
                </w:r>
                <w:r w:rsidR="001D21C8">
                  <w:rPr>
                    <w:noProof/>
                    <w:webHidden/>
                  </w:rPr>
                  <w:t>5</w:t>
                </w:r>
                <w:r w:rsidR="001D21C8">
                  <w:rPr>
                    <w:noProof/>
                    <w:webHidden/>
                  </w:rPr>
                  <w:fldChar w:fldCharType="end"/>
                </w:r>
              </w:hyperlink>
            </w:p>
            <w:p w14:paraId="6ECF4580" w14:textId="2714BCF1" w:rsidR="001D21C8" w:rsidRDefault="00FE5107">
              <w:pPr>
                <w:pStyle w:val="TOC2"/>
                <w:tabs>
                  <w:tab w:val="left" w:pos="960"/>
                  <w:tab w:val="right" w:leader="dot" w:pos="10457"/>
                </w:tabs>
                <w:rPr>
                  <w:rFonts w:asciiTheme="minorHAnsi" w:hAnsiTheme="minorHAnsi" w:cstheme="minorBidi"/>
                  <w:noProof/>
                  <w:kern w:val="2"/>
                  <w:sz w:val="24"/>
                  <w:szCs w:val="24"/>
                  <w:lang w:eastAsia="zh-CN"/>
                  <w14:ligatures w14:val="standardContextual"/>
                </w:rPr>
              </w:pPr>
              <w:hyperlink w:anchor="_Toc158626690" w:history="1">
                <w:r w:rsidR="001D21C8" w:rsidRPr="00413C13">
                  <w:rPr>
                    <w:rStyle w:val="Hyperlink"/>
                    <w:noProof/>
                    <w:lang w:eastAsia="zh-CN"/>
                  </w:rPr>
                  <w:t>3.8.</w:t>
                </w:r>
                <w:r w:rsidR="001D21C8">
                  <w:rPr>
                    <w:rFonts w:asciiTheme="minorHAnsi" w:hAnsiTheme="minorHAnsi" w:cstheme="minorBidi"/>
                    <w:noProof/>
                    <w:kern w:val="2"/>
                    <w:sz w:val="24"/>
                    <w:szCs w:val="24"/>
                    <w:lang w:eastAsia="zh-CN"/>
                    <w14:ligatures w14:val="standardContextual"/>
                  </w:rPr>
                  <w:tab/>
                </w:r>
                <w:r w:rsidR="001D21C8" w:rsidRPr="00413C13">
                  <w:rPr>
                    <w:rStyle w:val="Hyperlink"/>
                    <w:noProof/>
                    <w:lang w:eastAsia="zh-CN"/>
                  </w:rPr>
                  <w:t>Assessment Validity</w:t>
                </w:r>
                <w:r w:rsidR="001D21C8">
                  <w:rPr>
                    <w:noProof/>
                    <w:webHidden/>
                  </w:rPr>
                  <w:tab/>
                </w:r>
                <w:r w:rsidR="001D21C8">
                  <w:rPr>
                    <w:noProof/>
                    <w:webHidden/>
                  </w:rPr>
                  <w:fldChar w:fldCharType="begin"/>
                </w:r>
                <w:r w:rsidR="001D21C8">
                  <w:rPr>
                    <w:noProof/>
                    <w:webHidden/>
                  </w:rPr>
                  <w:instrText xml:space="preserve"> PAGEREF _Toc158626690 \h </w:instrText>
                </w:r>
                <w:r w:rsidR="001D21C8">
                  <w:rPr>
                    <w:noProof/>
                    <w:webHidden/>
                  </w:rPr>
                </w:r>
                <w:r w:rsidR="001D21C8">
                  <w:rPr>
                    <w:noProof/>
                    <w:webHidden/>
                  </w:rPr>
                  <w:fldChar w:fldCharType="separate"/>
                </w:r>
                <w:r w:rsidR="001D21C8">
                  <w:rPr>
                    <w:noProof/>
                    <w:webHidden/>
                  </w:rPr>
                  <w:t>5</w:t>
                </w:r>
                <w:r w:rsidR="001D21C8">
                  <w:rPr>
                    <w:noProof/>
                    <w:webHidden/>
                  </w:rPr>
                  <w:fldChar w:fldCharType="end"/>
                </w:r>
              </w:hyperlink>
            </w:p>
            <w:p w14:paraId="20AA209C" w14:textId="02EEF320" w:rsidR="001D21C8" w:rsidRDefault="00FE5107">
              <w:pPr>
                <w:pStyle w:val="TOC1"/>
                <w:tabs>
                  <w:tab w:val="left" w:pos="720"/>
                  <w:tab w:val="right" w:leader="dot" w:pos="10457"/>
                </w:tabs>
                <w:rPr>
                  <w:rFonts w:asciiTheme="minorHAnsi" w:eastAsiaTheme="minorEastAsia" w:hAnsiTheme="minorHAnsi" w:cstheme="minorBidi"/>
                  <w:noProof/>
                  <w:kern w:val="2"/>
                  <w:szCs w:val="24"/>
                  <w:lang w:eastAsia="zh-CN"/>
                  <w14:ligatures w14:val="standardContextual"/>
                </w:rPr>
              </w:pPr>
              <w:hyperlink w:anchor="_Toc158626691" w:history="1">
                <w:r w:rsidR="001D21C8" w:rsidRPr="00413C13">
                  <w:rPr>
                    <w:rStyle w:val="Hyperlink"/>
                    <w:noProof/>
                    <w:lang w:eastAsia="zh-CN"/>
                  </w:rPr>
                  <w:t>4.</w:t>
                </w:r>
                <w:r w:rsidR="001D21C8">
                  <w:rPr>
                    <w:rFonts w:asciiTheme="minorHAnsi" w:eastAsiaTheme="minorEastAsia" w:hAnsiTheme="minorHAnsi" w:cstheme="minorBidi"/>
                    <w:noProof/>
                    <w:kern w:val="2"/>
                    <w:szCs w:val="24"/>
                    <w:lang w:eastAsia="zh-CN"/>
                    <w14:ligatures w14:val="standardContextual"/>
                  </w:rPr>
                  <w:tab/>
                </w:r>
                <w:r w:rsidR="001D21C8" w:rsidRPr="00413C13">
                  <w:rPr>
                    <w:rStyle w:val="Hyperlink"/>
                    <w:noProof/>
                    <w:lang w:eastAsia="zh-CN"/>
                  </w:rPr>
                  <w:t>Better Cotton CoC Pre-Assessment Documentation Checklist</w:t>
                </w:r>
                <w:r w:rsidR="001D21C8">
                  <w:rPr>
                    <w:noProof/>
                    <w:webHidden/>
                  </w:rPr>
                  <w:tab/>
                </w:r>
                <w:r w:rsidR="001D21C8">
                  <w:rPr>
                    <w:noProof/>
                    <w:webHidden/>
                  </w:rPr>
                  <w:fldChar w:fldCharType="begin"/>
                </w:r>
                <w:r w:rsidR="001D21C8">
                  <w:rPr>
                    <w:noProof/>
                    <w:webHidden/>
                  </w:rPr>
                  <w:instrText xml:space="preserve"> PAGEREF _Toc158626691 \h </w:instrText>
                </w:r>
                <w:r w:rsidR="001D21C8">
                  <w:rPr>
                    <w:noProof/>
                    <w:webHidden/>
                  </w:rPr>
                </w:r>
                <w:r w:rsidR="001D21C8">
                  <w:rPr>
                    <w:noProof/>
                    <w:webHidden/>
                  </w:rPr>
                  <w:fldChar w:fldCharType="separate"/>
                </w:r>
                <w:r w:rsidR="001D21C8">
                  <w:rPr>
                    <w:noProof/>
                    <w:webHidden/>
                  </w:rPr>
                  <w:t>6</w:t>
                </w:r>
                <w:r w:rsidR="001D21C8">
                  <w:rPr>
                    <w:noProof/>
                    <w:webHidden/>
                  </w:rPr>
                  <w:fldChar w:fldCharType="end"/>
                </w:r>
              </w:hyperlink>
            </w:p>
            <w:p w14:paraId="39B1C3BC" w14:textId="50928A36" w:rsidR="001D21C8" w:rsidRDefault="00FE5107">
              <w:pPr>
                <w:pStyle w:val="TOC1"/>
                <w:tabs>
                  <w:tab w:val="left" w:pos="720"/>
                  <w:tab w:val="right" w:leader="dot" w:pos="10457"/>
                </w:tabs>
                <w:rPr>
                  <w:rFonts w:asciiTheme="minorHAnsi" w:eastAsiaTheme="minorEastAsia" w:hAnsiTheme="minorHAnsi" w:cstheme="minorBidi"/>
                  <w:noProof/>
                  <w:kern w:val="2"/>
                  <w:szCs w:val="24"/>
                  <w:lang w:eastAsia="zh-CN"/>
                  <w14:ligatures w14:val="standardContextual"/>
                </w:rPr>
              </w:pPr>
              <w:hyperlink w:anchor="_Toc158626692" w:history="1">
                <w:r w:rsidR="001D21C8" w:rsidRPr="00413C13">
                  <w:rPr>
                    <w:rStyle w:val="Hyperlink"/>
                    <w:noProof/>
                    <w:lang w:eastAsia="zh-CN"/>
                  </w:rPr>
                  <w:t>5.</w:t>
                </w:r>
                <w:r w:rsidR="001D21C8">
                  <w:rPr>
                    <w:rFonts w:asciiTheme="minorHAnsi" w:eastAsiaTheme="minorEastAsia" w:hAnsiTheme="minorHAnsi" w:cstheme="minorBidi"/>
                    <w:noProof/>
                    <w:kern w:val="2"/>
                    <w:szCs w:val="24"/>
                    <w:lang w:eastAsia="zh-CN"/>
                    <w14:ligatures w14:val="standardContextual"/>
                  </w:rPr>
                  <w:tab/>
                </w:r>
                <w:r w:rsidR="001D21C8" w:rsidRPr="00413C13">
                  <w:rPr>
                    <w:rStyle w:val="Hyperlink"/>
                    <w:noProof/>
                    <w:lang w:eastAsia="zh-CN"/>
                  </w:rPr>
                  <w:t>Better Cotton CoC Onsite Assessment Preparation Checklist</w:t>
                </w:r>
                <w:r w:rsidR="001D21C8">
                  <w:rPr>
                    <w:noProof/>
                    <w:webHidden/>
                  </w:rPr>
                  <w:tab/>
                </w:r>
                <w:r w:rsidR="001D21C8">
                  <w:rPr>
                    <w:noProof/>
                    <w:webHidden/>
                  </w:rPr>
                  <w:fldChar w:fldCharType="begin"/>
                </w:r>
                <w:r w:rsidR="001D21C8">
                  <w:rPr>
                    <w:noProof/>
                    <w:webHidden/>
                  </w:rPr>
                  <w:instrText xml:space="preserve"> PAGEREF _Toc158626692 \h </w:instrText>
                </w:r>
                <w:r w:rsidR="001D21C8">
                  <w:rPr>
                    <w:noProof/>
                    <w:webHidden/>
                  </w:rPr>
                </w:r>
                <w:r w:rsidR="001D21C8">
                  <w:rPr>
                    <w:noProof/>
                    <w:webHidden/>
                  </w:rPr>
                  <w:fldChar w:fldCharType="separate"/>
                </w:r>
                <w:r w:rsidR="001D21C8">
                  <w:rPr>
                    <w:noProof/>
                    <w:webHidden/>
                  </w:rPr>
                  <w:t>7</w:t>
                </w:r>
                <w:r w:rsidR="001D21C8">
                  <w:rPr>
                    <w:noProof/>
                    <w:webHidden/>
                  </w:rPr>
                  <w:fldChar w:fldCharType="end"/>
                </w:r>
              </w:hyperlink>
            </w:p>
            <w:p w14:paraId="73AECC93" w14:textId="17DDFF28" w:rsidR="001D21C8" w:rsidRDefault="00FE5107">
              <w:pPr>
                <w:pStyle w:val="TOC1"/>
                <w:tabs>
                  <w:tab w:val="left" w:pos="720"/>
                  <w:tab w:val="right" w:leader="dot" w:pos="10457"/>
                </w:tabs>
                <w:rPr>
                  <w:rFonts w:asciiTheme="minorHAnsi" w:eastAsiaTheme="minorEastAsia" w:hAnsiTheme="minorHAnsi" w:cstheme="minorBidi"/>
                  <w:noProof/>
                  <w:kern w:val="2"/>
                  <w:szCs w:val="24"/>
                  <w:lang w:eastAsia="zh-CN"/>
                  <w14:ligatures w14:val="standardContextual"/>
                </w:rPr>
              </w:pPr>
              <w:hyperlink w:anchor="_Toc158626693" w:history="1">
                <w:r w:rsidR="001D21C8" w:rsidRPr="00413C13">
                  <w:rPr>
                    <w:rStyle w:val="Hyperlink"/>
                    <w:noProof/>
                    <w:lang w:eastAsia="zh-CN"/>
                  </w:rPr>
                  <w:t>6.</w:t>
                </w:r>
                <w:r w:rsidR="001D21C8">
                  <w:rPr>
                    <w:rFonts w:asciiTheme="minorHAnsi" w:eastAsiaTheme="minorEastAsia" w:hAnsiTheme="minorHAnsi" w:cstheme="minorBidi"/>
                    <w:noProof/>
                    <w:kern w:val="2"/>
                    <w:szCs w:val="24"/>
                    <w:lang w:eastAsia="zh-CN"/>
                    <w14:ligatures w14:val="standardContextual"/>
                  </w:rPr>
                  <w:tab/>
                </w:r>
                <w:r w:rsidR="001D21C8" w:rsidRPr="00413C13">
                  <w:rPr>
                    <w:rStyle w:val="Hyperlink"/>
                    <w:noProof/>
                    <w:lang w:eastAsia="zh-CN"/>
                  </w:rPr>
                  <w:t>Appendix (Documentation Guidance)</w:t>
                </w:r>
                <w:r w:rsidR="001D21C8">
                  <w:rPr>
                    <w:noProof/>
                    <w:webHidden/>
                  </w:rPr>
                  <w:tab/>
                </w:r>
                <w:r w:rsidR="001D21C8">
                  <w:rPr>
                    <w:noProof/>
                    <w:webHidden/>
                  </w:rPr>
                  <w:fldChar w:fldCharType="begin"/>
                </w:r>
                <w:r w:rsidR="001D21C8">
                  <w:rPr>
                    <w:noProof/>
                    <w:webHidden/>
                  </w:rPr>
                  <w:instrText xml:space="preserve"> PAGEREF _Toc158626693 \h </w:instrText>
                </w:r>
                <w:r w:rsidR="001D21C8">
                  <w:rPr>
                    <w:noProof/>
                    <w:webHidden/>
                  </w:rPr>
                </w:r>
                <w:r w:rsidR="001D21C8">
                  <w:rPr>
                    <w:noProof/>
                    <w:webHidden/>
                  </w:rPr>
                  <w:fldChar w:fldCharType="separate"/>
                </w:r>
                <w:r w:rsidR="001D21C8">
                  <w:rPr>
                    <w:noProof/>
                    <w:webHidden/>
                  </w:rPr>
                  <w:t>9</w:t>
                </w:r>
                <w:r w:rsidR="001D21C8">
                  <w:rPr>
                    <w:noProof/>
                    <w:webHidden/>
                  </w:rPr>
                  <w:fldChar w:fldCharType="end"/>
                </w:r>
              </w:hyperlink>
            </w:p>
            <w:p w14:paraId="53FC97C8" w14:textId="13EB15F9" w:rsidR="00016E40" w:rsidRDefault="00957996" w:rsidP="00016E40">
              <w:pPr>
                <w:rPr>
                  <w:b/>
                  <w:bCs/>
                  <w:noProof/>
                </w:rPr>
              </w:pPr>
              <w:r>
                <w:rPr>
                  <w:rFonts w:cs="Arial"/>
                </w:rPr>
                <w:fldChar w:fldCharType="end"/>
              </w:r>
            </w:p>
          </w:sdtContent>
        </w:sdt>
      </w:sdtContent>
    </w:sdt>
    <w:bookmarkStart w:id="0" w:name="_Toc158293484" w:displacedByCustomXml="prev"/>
    <w:p w14:paraId="287BC56B" w14:textId="77777777" w:rsidR="00360360" w:rsidRDefault="00360360">
      <w:pPr>
        <w:rPr>
          <w:rFonts w:asciiTheme="majorHAnsi" w:eastAsiaTheme="majorEastAsia" w:hAnsiTheme="majorHAnsi" w:cstheme="majorBidi"/>
          <w:color w:val="365F91" w:themeColor="accent1" w:themeShade="BF"/>
          <w:sz w:val="32"/>
          <w:szCs w:val="32"/>
        </w:rPr>
      </w:pPr>
      <w:r>
        <w:br w:type="page"/>
      </w:r>
    </w:p>
    <w:p w14:paraId="41041DC3" w14:textId="1BBFCF2E" w:rsidR="00016E40" w:rsidRDefault="00016E40" w:rsidP="0058017C">
      <w:pPr>
        <w:pStyle w:val="Heading1"/>
        <w:numPr>
          <w:ilvl w:val="0"/>
          <w:numId w:val="35"/>
        </w:numPr>
      </w:pPr>
      <w:bookmarkStart w:id="1" w:name="_Toc158626676"/>
      <w:r>
        <w:lastRenderedPageBreak/>
        <w:t>Assessment Protocol</w:t>
      </w:r>
      <w:bookmarkStart w:id="2" w:name="_Toc158293485"/>
      <w:bookmarkEnd w:id="1"/>
      <w:bookmarkEnd w:id="0"/>
    </w:p>
    <w:p w14:paraId="3C4BCCF8" w14:textId="108359C2" w:rsidR="00B779F1" w:rsidRPr="00B779F1" w:rsidRDefault="00BE4E9B" w:rsidP="003D5B68">
      <w:pPr>
        <w:pStyle w:val="Heading2"/>
        <w:numPr>
          <w:ilvl w:val="1"/>
          <w:numId w:val="35"/>
        </w:numPr>
        <w:ind w:left="990" w:hanging="630"/>
      </w:pPr>
      <w:bookmarkStart w:id="3" w:name="_Toc158626677"/>
      <w:r>
        <w:t>Assessment Timeline</w:t>
      </w:r>
      <w:bookmarkEnd w:id="2"/>
      <w:bookmarkEnd w:id="3"/>
    </w:p>
    <w:p w14:paraId="17AF8D3A" w14:textId="77777777" w:rsidR="00B779F1" w:rsidRPr="004E30A3" w:rsidRDefault="00B779F1" w:rsidP="004E30A3">
      <w:pPr>
        <w:rPr>
          <w:lang w:eastAsia="zh-CN"/>
        </w:rPr>
      </w:pPr>
    </w:p>
    <w:tbl>
      <w:tblPr>
        <w:tblStyle w:val="TableGrid"/>
        <w:tblW w:w="10435" w:type="dxa"/>
        <w:jc w:val="center"/>
        <w:tblLayout w:type="fixed"/>
        <w:tblLook w:val="04A0" w:firstRow="1" w:lastRow="0" w:firstColumn="1" w:lastColumn="0" w:noHBand="0" w:noVBand="1"/>
      </w:tblPr>
      <w:tblGrid>
        <w:gridCol w:w="1075"/>
        <w:gridCol w:w="1080"/>
        <w:gridCol w:w="980"/>
        <w:gridCol w:w="10"/>
        <w:gridCol w:w="1004"/>
        <w:gridCol w:w="734"/>
        <w:gridCol w:w="962"/>
        <w:gridCol w:w="1350"/>
        <w:gridCol w:w="1080"/>
        <w:gridCol w:w="1093"/>
        <w:gridCol w:w="1067"/>
      </w:tblGrid>
      <w:tr w:rsidR="006428D8" w:rsidRPr="00851D82" w14:paraId="7B26EDE3" w14:textId="77777777" w:rsidTr="003F6B41">
        <w:trPr>
          <w:trHeight w:val="206"/>
          <w:jc w:val="center"/>
        </w:trPr>
        <w:tc>
          <w:tcPr>
            <w:tcW w:w="3145"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35881DA" w14:textId="79EE4522" w:rsidR="006428D8" w:rsidRPr="00851D82" w:rsidRDefault="006428D8" w:rsidP="006428D8">
            <w:pPr>
              <w:jc w:val="center"/>
              <w:rPr>
                <w:rFonts w:cs="Arial"/>
                <w:b/>
                <w:bCs/>
                <w:sz w:val="14"/>
                <w:szCs w:val="10"/>
                <w:lang w:eastAsia="zh-CN"/>
              </w:rPr>
            </w:pPr>
            <w:r w:rsidRPr="00851D82">
              <w:rPr>
                <w:rFonts w:cs="Arial"/>
                <w:b/>
                <w:bCs/>
                <w:sz w:val="14"/>
                <w:szCs w:val="10"/>
                <w:lang w:eastAsia="zh-CN"/>
              </w:rPr>
              <w:t>Better Cotton Application</w:t>
            </w:r>
          </w:p>
        </w:tc>
        <w:tc>
          <w:tcPr>
            <w:tcW w:w="7290" w:type="dxa"/>
            <w:gridSpan w:val="7"/>
            <w:tcBorders>
              <w:top w:val="single" w:sz="4" w:space="0" w:color="auto"/>
              <w:left w:val="single" w:sz="4" w:space="0" w:color="auto"/>
              <w:bottom w:val="single" w:sz="4" w:space="0" w:color="auto"/>
              <w:right w:val="single" w:sz="4" w:space="0" w:color="auto"/>
            </w:tcBorders>
            <w:shd w:val="clear" w:color="auto" w:fill="9FD3A4"/>
            <w:vAlign w:val="center"/>
          </w:tcPr>
          <w:p w14:paraId="09A7885C" w14:textId="706056D6" w:rsidR="006428D8" w:rsidRPr="00851D82" w:rsidRDefault="006428D8" w:rsidP="000A0805">
            <w:pPr>
              <w:jc w:val="center"/>
              <w:rPr>
                <w:rFonts w:cs="Arial"/>
                <w:b/>
                <w:bCs/>
                <w:sz w:val="14"/>
                <w:szCs w:val="10"/>
                <w:lang w:eastAsia="zh-CN"/>
              </w:rPr>
            </w:pPr>
            <w:r w:rsidRPr="00851D82">
              <w:rPr>
                <w:rFonts w:cs="Arial"/>
                <w:b/>
                <w:bCs/>
                <w:sz w:val="14"/>
                <w:szCs w:val="10"/>
                <w:lang w:eastAsia="zh-CN"/>
              </w:rPr>
              <w:t>IDFL Application Process</w:t>
            </w:r>
          </w:p>
        </w:tc>
      </w:tr>
      <w:tr w:rsidR="001B719C" w:rsidRPr="00851D82" w14:paraId="421F0186" w14:textId="7847E7CA" w:rsidTr="001B719C">
        <w:trPr>
          <w:trHeight w:val="405"/>
          <w:jc w:val="center"/>
        </w:trPr>
        <w:tc>
          <w:tcPr>
            <w:tcW w:w="107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2861809" w14:textId="49E02F84" w:rsidR="001B719C" w:rsidRPr="00851D82" w:rsidRDefault="001B719C" w:rsidP="001B719C">
            <w:pPr>
              <w:rPr>
                <w:rFonts w:cs="Arial"/>
                <w:b/>
                <w:bCs/>
                <w:sz w:val="14"/>
                <w:szCs w:val="10"/>
                <w:lang w:eastAsia="zh-CN"/>
              </w:rPr>
            </w:pPr>
            <w:r>
              <w:rPr>
                <w:rFonts w:cs="Arial"/>
                <w:b/>
                <w:bCs/>
                <w:sz w:val="14"/>
                <w:szCs w:val="10"/>
                <w:lang w:eastAsia="zh-CN"/>
              </w:rPr>
              <w:t>Registration</w:t>
            </w:r>
          </w:p>
        </w:tc>
        <w:tc>
          <w:tcPr>
            <w:tcW w:w="108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F01DDE7" w14:textId="77777777" w:rsidR="001B719C" w:rsidRDefault="001B719C" w:rsidP="001B719C">
            <w:pPr>
              <w:jc w:val="center"/>
              <w:rPr>
                <w:rFonts w:cs="Arial"/>
                <w:b/>
                <w:bCs/>
                <w:sz w:val="14"/>
                <w:szCs w:val="10"/>
                <w:lang w:eastAsia="zh-CN"/>
              </w:rPr>
            </w:pPr>
            <w:r>
              <w:rPr>
                <w:rFonts w:cs="Arial"/>
                <w:b/>
                <w:bCs/>
                <w:sz w:val="14"/>
                <w:szCs w:val="10"/>
                <w:lang w:eastAsia="zh-CN"/>
              </w:rPr>
              <w:t>Categorized</w:t>
            </w:r>
          </w:p>
          <w:p w14:paraId="5B5FEE41" w14:textId="05AAE0C1" w:rsidR="001B719C" w:rsidRPr="00851D82" w:rsidRDefault="001B719C" w:rsidP="001B719C">
            <w:pPr>
              <w:jc w:val="center"/>
              <w:rPr>
                <w:rFonts w:cs="Arial"/>
                <w:b/>
                <w:bCs/>
                <w:sz w:val="14"/>
                <w:szCs w:val="10"/>
                <w:lang w:eastAsia="zh-CN"/>
              </w:rPr>
            </w:pPr>
            <w:r>
              <w:rPr>
                <w:rFonts w:cs="Arial"/>
                <w:b/>
                <w:bCs/>
                <w:sz w:val="14"/>
                <w:szCs w:val="10"/>
                <w:lang w:eastAsia="zh-CN"/>
              </w:rPr>
              <w:t>Risk Level</w:t>
            </w:r>
          </w:p>
        </w:tc>
        <w:tc>
          <w:tcPr>
            <w:tcW w:w="99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FAB5722" w14:textId="2EE0F041" w:rsidR="001B719C" w:rsidRPr="00851D82" w:rsidRDefault="00877B15" w:rsidP="001B719C">
            <w:pPr>
              <w:jc w:val="center"/>
              <w:rPr>
                <w:rFonts w:cs="Arial"/>
                <w:b/>
                <w:bCs/>
                <w:sz w:val="14"/>
                <w:szCs w:val="10"/>
                <w:lang w:eastAsia="zh-CN"/>
              </w:rPr>
            </w:pPr>
            <w:r>
              <w:rPr>
                <w:rFonts w:cs="Arial"/>
                <w:b/>
                <w:bCs/>
                <w:sz w:val="14"/>
                <w:szCs w:val="10"/>
                <w:lang w:eastAsia="zh-CN"/>
              </w:rPr>
              <w:t>3PV</w:t>
            </w:r>
          </w:p>
        </w:tc>
        <w:tc>
          <w:tcPr>
            <w:tcW w:w="1004" w:type="dxa"/>
            <w:tcBorders>
              <w:top w:val="single" w:sz="4" w:space="0" w:color="auto"/>
              <w:left w:val="single" w:sz="4" w:space="0" w:color="auto"/>
              <w:bottom w:val="single" w:sz="4" w:space="0" w:color="auto"/>
              <w:right w:val="single" w:sz="4" w:space="0" w:color="auto"/>
            </w:tcBorders>
            <w:shd w:val="clear" w:color="auto" w:fill="9FD3A4"/>
            <w:vAlign w:val="center"/>
          </w:tcPr>
          <w:p w14:paraId="76F14FEB" w14:textId="188DD0B5" w:rsidR="001B719C" w:rsidRPr="00851D82" w:rsidRDefault="001B719C" w:rsidP="001B719C">
            <w:pPr>
              <w:rPr>
                <w:rFonts w:cs="Arial"/>
                <w:b/>
                <w:bCs/>
                <w:sz w:val="14"/>
                <w:szCs w:val="10"/>
                <w:lang w:eastAsia="zh-CN"/>
              </w:rPr>
            </w:pPr>
            <w:r w:rsidRPr="00851D82">
              <w:rPr>
                <w:rFonts w:cs="Arial"/>
                <w:b/>
                <w:bCs/>
                <w:sz w:val="14"/>
                <w:szCs w:val="10"/>
                <w:lang w:eastAsia="zh-CN"/>
              </w:rPr>
              <w:t>Application</w:t>
            </w:r>
          </w:p>
        </w:tc>
        <w:tc>
          <w:tcPr>
            <w:tcW w:w="734" w:type="dxa"/>
            <w:tcBorders>
              <w:top w:val="single" w:sz="4" w:space="0" w:color="auto"/>
              <w:left w:val="single" w:sz="4" w:space="0" w:color="auto"/>
              <w:bottom w:val="single" w:sz="4" w:space="0" w:color="auto"/>
              <w:right w:val="single" w:sz="4" w:space="0" w:color="auto"/>
            </w:tcBorders>
            <w:shd w:val="clear" w:color="auto" w:fill="9FD3A4"/>
            <w:vAlign w:val="center"/>
          </w:tcPr>
          <w:p w14:paraId="0A441327" w14:textId="634F5EB6" w:rsidR="001B719C" w:rsidRPr="00851D82" w:rsidRDefault="001B719C" w:rsidP="001B719C">
            <w:pPr>
              <w:jc w:val="center"/>
              <w:rPr>
                <w:rFonts w:cs="Arial"/>
                <w:b/>
                <w:bCs/>
                <w:sz w:val="14"/>
                <w:szCs w:val="10"/>
                <w:lang w:eastAsia="zh-CN"/>
              </w:rPr>
            </w:pPr>
            <w:r w:rsidRPr="00851D82">
              <w:rPr>
                <w:rFonts w:cs="Arial"/>
                <w:b/>
                <w:bCs/>
                <w:sz w:val="14"/>
                <w:szCs w:val="10"/>
                <w:lang w:eastAsia="zh-CN"/>
              </w:rPr>
              <w:t>Review</w:t>
            </w:r>
          </w:p>
        </w:tc>
        <w:tc>
          <w:tcPr>
            <w:tcW w:w="962" w:type="dxa"/>
            <w:tcBorders>
              <w:top w:val="single" w:sz="4" w:space="0" w:color="auto"/>
              <w:left w:val="single" w:sz="4" w:space="0" w:color="auto"/>
              <w:bottom w:val="single" w:sz="4" w:space="0" w:color="auto"/>
              <w:right w:val="single" w:sz="4" w:space="0" w:color="auto"/>
            </w:tcBorders>
            <w:shd w:val="clear" w:color="auto" w:fill="9FD3A4"/>
            <w:vAlign w:val="center"/>
          </w:tcPr>
          <w:p w14:paraId="709F6E72" w14:textId="7D460D7B" w:rsidR="001B719C" w:rsidRPr="00851D82" w:rsidRDefault="001B719C" w:rsidP="001B719C">
            <w:pPr>
              <w:jc w:val="center"/>
              <w:rPr>
                <w:rFonts w:cs="Arial"/>
                <w:b/>
                <w:bCs/>
                <w:sz w:val="14"/>
                <w:szCs w:val="10"/>
                <w:lang w:eastAsia="zh-CN"/>
              </w:rPr>
            </w:pPr>
            <w:r w:rsidRPr="00851D82">
              <w:rPr>
                <w:rFonts w:cs="Arial"/>
                <w:b/>
                <w:bCs/>
                <w:sz w:val="14"/>
                <w:szCs w:val="10"/>
                <w:lang w:eastAsia="zh-CN"/>
              </w:rPr>
              <w:t>Agreement</w:t>
            </w:r>
          </w:p>
        </w:tc>
        <w:tc>
          <w:tcPr>
            <w:tcW w:w="1350" w:type="dxa"/>
            <w:tcBorders>
              <w:top w:val="single" w:sz="4" w:space="0" w:color="auto"/>
              <w:left w:val="single" w:sz="4" w:space="0" w:color="auto"/>
              <w:bottom w:val="single" w:sz="4" w:space="0" w:color="auto"/>
              <w:right w:val="single" w:sz="4" w:space="0" w:color="auto"/>
            </w:tcBorders>
            <w:shd w:val="clear" w:color="auto" w:fill="9FD3A4"/>
            <w:vAlign w:val="center"/>
          </w:tcPr>
          <w:p w14:paraId="2F5CFCDB" w14:textId="52BEEC63" w:rsidR="001B719C" w:rsidRPr="00851D82" w:rsidRDefault="001B719C" w:rsidP="001B719C">
            <w:pPr>
              <w:jc w:val="center"/>
              <w:rPr>
                <w:rFonts w:cs="Arial"/>
                <w:b/>
                <w:bCs/>
                <w:sz w:val="14"/>
                <w:szCs w:val="10"/>
                <w:lang w:eastAsia="zh-CN"/>
              </w:rPr>
            </w:pPr>
            <w:r w:rsidRPr="00851D82">
              <w:rPr>
                <w:rFonts w:cs="Arial"/>
                <w:b/>
                <w:bCs/>
                <w:sz w:val="14"/>
                <w:szCs w:val="10"/>
                <w:lang w:eastAsia="zh-CN"/>
              </w:rPr>
              <w:t>Pre-Assessment Documentation</w:t>
            </w:r>
          </w:p>
        </w:tc>
        <w:tc>
          <w:tcPr>
            <w:tcW w:w="1080" w:type="dxa"/>
            <w:tcBorders>
              <w:top w:val="single" w:sz="4" w:space="0" w:color="auto"/>
              <w:left w:val="single" w:sz="4" w:space="0" w:color="auto"/>
              <w:bottom w:val="single" w:sz="4" w:space="0" w:color="auto"/>
              <w:right w:val="single" w:sz="4" w:space="0" w:color="auto"/>
            </w:tcBorders>
            <w:shd w:val="clear" w:color="auto" w:fill="9FD3A4"/>
            <w:vAlign w:val="center"/>
          </w:tcPr>
          <w:p w14:paraId="1D5D37B3" w14:textId="5BF74440" w:rsidR="001B719C" w:rsidRPr="00851D82" w:rsidRDefault="001B719C" w:rsidP="001B719C">
            <w:pPr>
              <w:jc w:val="center"/>
              <w:rPr>
                <w:rFonts w:cs="Arial"/>
                <w:b/>
                <w:bCs/>
                <w:sz w:val="14"/>
                <w:szCs w:val="10"/>
                <w:lang w:eastAsia="zh-CN"/>
              </w:rPr>
            </w:pPr>
            <w:r w:rsidRPr="00851D82">
              <w:rPr>
                <w:rFonts w:cs="Arial"/>
                <w:b/>
                <w:bCs/>
                <w:sz w:val="14"/>
                <w:szCs w:val="10"/>
                <w:lang w:eastAsia="zh-CN"/>
              </w:rPr>
              <w:t xml:space="preserve">Onsite </w:t>
            </w:r>
            <w:r w:rsidR="00A47624">
              <w:rPr>
                <w:rFonts w:cs="Arial"/>
                <w:b/>
                <w:bCs/>
                <w:sz w:val="14"/>
                <w:szCs w:val="10"/>
                <w:lang w:eastAsia="zh-CN"/>
              </w:rPr>
              <w:t>Assessment</w:t>
            </w:r>
          </w:p>
        </w:tc>
        <w:tc>
          <w:tcPr>
            <w:tcW w:w="1093" w:type="dxa"/>
            <w:tcBorders>
              <w:top w:val="single" w:sz="4" w:space="0" w:color="auto"/>
              <w:left w:val="single" w:sz="4" w:space="0" w:color="auto"/>
              <w:bottom w:val="single" w:sz="4" w:space="0" w:color="auto"/>
              <w:right w:val="single" w:sz="4" w:space="0" w:color="auto"/>
            </w:tcBorders>
            <w:shd w:val="clear" w:color="auto" w:fill="9FD3A4"/>
            <w:vAlign w:val="center"/>
          </w:tcPr>
          <w:p w14:paraId="1C2E9536" w14:textId="155C8C5F" w:rsidR="001B719C" w:rsidRPr="00851D82" w:rsidRDefault="001B719C" w:rsidP="001B719C">
            <w:pPr>
              <w:jc w:val="center"/>
              <w:rPr>
                <w:rFonts w:cs="Arial"/>
                <w:b/>
                <w:bCs/>
                <w:sz w:val="14"/>
                <w:szCs w:val="10"/>
                <w:lang w:eastAsia="zh-CN"/>
              </w:rPr>
            </w:pPr>
            <w:r w:rsidRPr="00851D82">
              <w:rPr>
                <w:rFonts w:cs="Arial"/>
                <w:b/>
                <w:bCs/>
                <w:sz w:val="14"/>
                <w:szCs w:val="10"/>
                <w:lang w:eastAsia="zh-CN"/>
              </w:rPr>
              <w:t>Corrective Actions</w:t>
            </w:r>
          </w:p>
        </w:tc>
        <w:tc>
          <w:tcPr>
            <w:tcW w:w="1067" w:type="dxa"/>
            <w:tcBorders>
              <w:top w:val="single" w:sz="4" w:space="0" w:color="auto"/>
              <w:left w:val="single" w:sz="4" w:space="0" w:color="auto"/>
              <w:bottom w:val="single" w:sz="4" w:space="0" w:color="auto"/>
              <w:right w:val="single" w:sz="4" w:space="0" w:color="auto"/>
            </w:tcBorders>
            <w:shd w:val="clear" w:color="auto" w:fill="9FD3A4"/>
            <w:vAlign w:val="center"/>
          </w:tcPr>
          <w:p w14:paraId="799434DA" w14:textId="286F7D31" w:rsidR="001B719C" w:rsidRPr="00851D82" w:rsidRDefault="00A47624" w:rsidP="001B719C">
            <w:pPr>
              <w:jc w:val="center"/>
              <w:rPr>
                <w:rFonts w:cs="Arial"/>
                <w:b/>
                <w:bCs/>
                <w:sz w:val="14"/>
                <w:szCs w:val="10"/>
                <w:lang w:eastAsia="zh-CN"/>
              </w:rPr>
            </w:pPr>
            <w:r>
              <w:rPr>
                <w:rFonts w:cs="Arial"/>
                <w:b/>
                <w:bCs/>
                <w:sz w:val="14"/>
                <w:szCs w:val="10"/>
                <w:lang w:eastAsia="zh-CN"/>
              </w:rPr>
              <w:t>Assessment</w:t>
            </w:r>
            <w:r w:rsidR="001B719C" w:rsidRPr="00851D82">
              <w:rPr>
                <w:rFonts w:cs="Arial"/>
                <w:b/>
                <w:bCs/>
                <w:sz w:val="14"/>
                <w:szCs w:val="10"/>
                <w:lang w:eastAsia="zh-CN"/>
              </w:rPr>
              <w:t xml:space="preserve"> Decision</w:t>
            </w:r>
          </w:p>
        </w:tc>
      </w:tr>
      <w:tr w:rsidR="001B719C" w:rsidRPr="00851D82" w14:paraId="10D82363" w14:textId="45BC94CB" w:rsidTr="00353623">
        <w:trPr>
          <w:trHeight w:val="917"/>
          <w:jc w:val="center"/>
        </w:trPr>
        <w:tc>
          <w:tcPr>
            <w:tcW w:w="1075" w:type="dxa"/>
            <w:tcBorders>
              <w:top w:val="single" w:sz="4" w:space="0" w:color="auto"/>
              <w:left w:val="single" w:sz="4" w:space="0" w:color="auto"/>
              <w:bottom w:val="single" w:sz="4" w:space="0" w:color="auto"/>
              <w:right w:val="single" w:sz="4" w:space="0" w:color="auto"/>
            </w:tcBorders>
          </w:tcPr>
          <w:p w14:paraId="4C30D9B2" w14:textId="39A419EA" w:rsidR="001B719C" w:rsidRDefault="0009455C" w:rsidP="001B719C">
            <w:pPr>
              <w:jc w:val="center"/>
              <w:rPr>
                <w:rFonts w:cs="Arial"/>
                <w:noProof/>
                <w:sz w:val="14"/>
                <w:szCs w:val="10"/>
                <w:lang w:eastAsia="zh-CN"/>
              </w:rPr>
            </w:pPr>
            <w:r>
              <w:rPr>
                <w:rFonts w:cs="Arial"/>
                <w:noProof/>
                <w:sz w:val="14"/>
                <w:szCs w:val="10"/>
                <w:lang w:eastAsia="zh-CN"/>
              </w:rPr>
              <w:drawing>
                <wp:anchor distT="0" distB="0" distL="114300" distR="114300" simplePos="0" relativeHeight="251694080" behindDoc="0" locked="0" layoutInCell="1" allowOverlap="1" wp14:anchorId="0F106FF0" wp14:editId="2F5D6E6B">
                  <wp:simplePos x="0" y="0"/>
                  <wp:positionH relativeFrom="column">
                    <wp:posOffset>64135</wp:posOffset>
                  </wp:positionH>
                  <wp:positionV relativeFrom="paragraph">
                    <wp:posOffset>12254</wp:posOffset>
                  </wp:positionV>
                  <wp:extent cx="415290" cy="567969"/>
                  <wp:effectExtent l="0" t="0" r="3810" b="3810"/>
                  <wp:wrapNone/>
                  <wp:docPr id="1636782239" name="Graphic 2" descr="Clipboard Mix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82239" name="Graphic 1636782239" descr="Clipboard Mixed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2454" t="1244" r="11692"/>
                          <a:stretch/>
                        </pic:blipFill>
                        <pic:spPr bwMode="auto">
                          <a:xfrm>
                            <a:off x="0" y="0"/>
                            <a:ext cx="415290" cy="567969"/>
                          </a:xfrm>
                          <a:prstGeom prst="rect">
                            <a:avLst/>
                          </a:prstGeom>
                          <a:ln>
                            <a:noFill/>
                          </a:ln>
                          <a:extLst>
                            <a:ext uri="{53640926-AAD7-44D8-BBD7-CCE9431645EC}">
                              <a14:shadowObscured xmlns:a14="http://schemas.microsoft.com/office/drawing/2010/main"/>
                            </a:ext>
                          </a:extLst>
                        </pic:spPr>
                      </pic:pic>
                    </a:graphicData>
                  </a:graphic>
                </wp:anchor>
              </w:drawing>
            </w:r>
          </w:p>
          <w:p w14:paraId="19BBD1AA" w14:textId="5E27D85C" w:rsidR="001B719C" w:rsidRPr="00851D82" w:rsidRDefault="001B719C" w:rsidP="001B719C">
            <w:pPr>
              <w:jc w:val="center"/>
              <w:rPr>
                <w:rFonts w:cs="Arial"/>
                <w:sz w:val="14"/>
                <w:szCs w:val="10"/>
                <w:lang w:eastAsia="zh-CN"/>
              </w:rPr>
            </w:pPr>
          </w:p>
        </w:tc>
        <w:tc>
          <w:tcPr>
            <w:tcW w:w="1080" w:type="dxa"/>
            <w:tcBorders>
              <w:top w:val="single" w:sz="4" w:space="0" w:color="auto"/>
              <w:left w:val="single" w:sz="4" w:space="0" w:color="auto"/>
              <w:bottom w:val="single" w:sz="4" w:space="0" w:color="auto"/>
              <w:right w:val="single" w:sz="4" w:space="0" w:color="auto"/>
            </w:tcBorders>
            <w:vAlign w:val="center"/>
          </w:tcPr>
          <w:p w14:paraId="3A8A4167" w14:textId="165B5B3F" w:rsidR="001B719C" w:rsidRPr="00851D82" w:rsidRDefault="00B620D8" w:rsidP="001B719C">
            <w:pPr>
              <w:jc w:val="center"/>
              <w:rPr>
                <w:rFonts w:cs="Arial"/>
                <w:sz w:val="14"/>
                <w:szCs w:val="10"/>
                <w:lang w:eastAsia="zh-CN"/>
              </w:rPr>
            </w:pPr>
            <w:r>
              <w:rPr>
                <w:rFonts w:cs="Arial"/>
                <w:noProof/>
                <w:sz w:val="14"/>
                <w:szCs w:val="10"/>
                <w:lang w:eastAsia="zh-CN"/>
              </w:rPr>
              <w:drawing>
                <wp:anchor distT="0" distB="0" distL="114300" distR="114300" simplePos="0" relativeHeight="251696128" behindDoc="0" locked="0" layoutInCell="1" allowOverlap="1" wp14:anchorId="49C83D8D" wp14:editId="66899C06">
                  <wp:simplePos x="0" y="0"/>
                  <wp:positionH relativeFrom="column">
                    <wp:posOffset>2540</wp:posOffset>
                  </wp:positionH>
                  <wp:positionV relativeFrom="paragraph">
                    <wp:posOffset>4445</wp:posOffset>
                  </wp:positionV>
                  <wp:extent cx="548640" cy="548640"/>
                  <wp:effectExtent l="0" t="0" r="3810" b="0"/>
                  <wp:wrapNone/>
                  <wp:docPr id="1369584530" name="Graphic 3" descr="Hierarch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84530" name="Graphic 1369584530" descr="Hierarchy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tc>
        <w:tc>
          <w:tcPr>
            <w:tcW w:w="990" w:type="dxa"/>
            <w:gridSpan w:val="2"/>
            <w:tcBorders>
              <w:top w:val="single" w:sz="4" w:space="0" w:color="auto"/>
              <w:left w:val="single" w:sz="4" w:space="0" w:color="auto"/>
              <w:bottom w:val="single" w:sz="4" w:space="0" w:color="auto"/>
              <w:right w:val="single" w:sz="4" w:space="0" w:color="auto"/>
            </w:tcBorders>
          </w:tcPr>
          <w:p w14:paraId="5E82AAD3" w14:textId="238289AA" w:rsidR="001B719C" w:rsidRDefault="00085480" w:rsidP="001B719C">
            <w:pPr>
              <w:jc w:val="center"/>
              <w:rPr>
                <w:rFonts w:cs="Arial"/>
                <w:noProof/>
                <w:sz w:val="14"/>
                <w:szCs w:val="10"/>
                <w:lang w:eastAsia="zh-CN"/>
              </w:rPr>
            </w:pPr>
            <w:r>
              <w:rPr>
                <w:rFonts w:cs="Arial"/>
                <w:noProof/>
                <w:sz w:val="14"/>
                <w:szCs w:val="10"/>
                <w:lang w:eastAsia="zh-CN"/>
              </w:rPr>
              <w:drawing>
                <wp:anchor distT="0" distB="0" distL="114300" distR="114300" simplePos="0" relativeHeight="251693056" behindDoc="0" locked="0" layoutInCell="1" allowOverlap="1" wp14:anchorId="6A6A9BAC" wp14:editId="55CDCCCC">
                  <wp:simplePos x="0" y="0"/>
                  <wp:positionH relativeFrom="column">
                    <wp:posOffset>-27940</wp:posOffset>
                  </wp:positionH>
                  <wp:positionV relativeFrom="paragraph">
                    <wp:posOffset>18898</wp:posOffset>
                  </wp:positionV>
                  <wp:extent cx="497646" cy="572941"/>
                  <wp:effectExtent l="0" t="0" r="0" b="0"/>
                  <wp:wrapNone/>
                  <wp:docPr id="1747763649" name="Graphic 1"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63649" name="Graphic 1747763649" descr="Clipboard Partially Checked with solid fill"/>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l="8330" t="5620" r="9692" b="1"/>
                          <a:stretch/>
                        </pic:blipFill>
                        <pic:spPr bwMode="auto">
                          <a:xfrm>
                            <a:off x="0" y="0"/>
                            <a:ext cx="497646" cy="5729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828F43" w14:textId="77777777" w:rsidR="001B719C" w:rsidRPr="00851D82" w:rsidRDefault="001B719C" w:rsidP="001B719C">
            <w:pPr>
              <w:jc w:val="center"/>
              <w:rPr>
                <w:rFonts w:cs="Arial"/>
                <w:noProof/>
                <w:sz w:val="14"/>
                <w:szCs w:val="10"/>
                <w:lang w:eastAsia="zh-CN"/>
              </w:rPr>
            </w:pPr>
          </w:p>
        </w:tc>
        <w:tc>
          <w:tcPr>
            <w:tcW w:w="1004" w:type="dxa"/>
            <w:tcBorders>
              <w:top w:val="single" w:sz="4" w:space="0" w:color="auto"/>
              <w:left w:val="single" w:sz="4" w:space="0" w:color="auto"/>
              <w:bottom w:val="single" w:sz="4" w:space="0" w:color="auto"/>
              <w:right w:val="single" w:sz="4" w:space="0" w:color="auto"/>
            </w:tcBorders>
          </w:tcPr>
          <w:p w14:paraId="1F4A5EC6" w14:textId="0D6B4E0D" w:rsidR="001B719C" w:rsidRPr="00851D82" w:rsidRDefault="001B719C" w:rsidP="001B719C">
            <w:pPr>
              <w:jc w:val="center"/>
              <w:rPr>
                <w:rFonts w:cs="Arial"/>
                <w:noProof/>
                <w:sz w:val="14"/>
                <w:szCs w:val="10"/>
                <w:lang w:eastAsia="zh-CN"/>
              </w:rPr>
            </w:pPr>
            <w:r w:rsidRPr="00851D82">
              <w:rPr>
                <w:rFonts w:cs="Arial"/>
                <w:noProof/>
                <w:sz w:val="14"/>
                <w:szCs w:val="10"/>
                <w:lang w:eastAsia="zh-CN"/>
              </w:rPr>
              <w:drawing>
                <wp:anchor distT="0" distB="0" distL="114300" distR="114300" simplePos="0" relativeHeight="251692032" behindDoc="1" locked="0" layoutInCell="1" allowOverlap="1" wp14:anchorId="4D2F9C4A" wp14:editId="10E1413C">
                  <wp:simplePos x="0" y="0"/>
                  <wp:positionH relativeFrom="column">
                    <wp:posOffset>47524</wp:posOffset>
                  </wp:positionH>
                  <wp:positionV relativeFrom="paragraph">
                    <wp:posOffset>54610</wp:posOffset>
                  </wp:positionV>
                  <wp:extent cx="380024" cy="540817"/>
                  <wp:effectExtent l="0" t="0" r="1270" b="0"/>
                  <wp:wrapNone/>
                  <wp:docPr id="4" name="Graphic 4" descr="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_rtl.svg"/>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l="17153" t="7515" r="17580" b="-407"/>
                          <a:stretch/>
                        </pic:blipFill>
                        <pic:spPr bwMode="auto">
                          <a:xfrm>
                            <a:off x="0" y="0"/>
                            <a:ext cx="380024" cy="5408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4FBF072" w14:textId="56A0F00F" w:rsidR="001B719C" w:rsidRPr="00851D82" w:rsidRDefault="009326D6" w:rsidP="001B719C">
            <w:pPr>
              <w:jc w:val="center"/>
              <w:rPr>
                <w:rFonts w:cs="Arial"/>
                <w:sz w:val="14"/>
                <w:szCs w:val="10"/>
                <w:lang w:eastAsia="zh-CN"/>
              </w:rPr>
            </w:pPr>
            <w:r w:rsidRPr="00851D82">
              <w:rPr>
                <w:rFonts w:cs="Arial"/>
                <w:noProof/>
                <w:sz w:val="14"/>
                <w:szCs w:val="10"/>
                <w:lang w:eastAsia="zh-CN"/>
              </w:rPr>
              <w:drawing>
                <wp:anchor distT="0" distB="0" distL="114300" distR="114300" simplePos="0" relativeHeight="251688960" behindDoc="0" locked="0" layoutInCell="1" allowOverlap="1" wp14:anchorId="327DF564" wp14:editId="3321FF21">
                  <wp:simplePos x="0" y="0"/>
                  <wp:positionH relativeFrom="column">
                    <wp:posOffset>-24765</wp:posOffset>
                  </wp:positionH>
                  <wp:positionV relativeFrom="paragraph">
                    <wp:posOffset>12065</wp:posOffset>
                  </wp:positionV>
                  <wp:extent cx="415290" cy="584835"/>
                  <wp:effectExtent l="0" t="0" r="3810" b="5715"/>
                  <wp:wrapNone/>
                  <wp:docPr id="7" name="Graphic 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_rtl.svg"/>
                          <pic:cNvPicPr/>
                        </pic:nvPicPr>
                        <pic:blipFill rotWithShape="1">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rcRect l="16742" r="12133"/>
                          <a:stretch/>
                        </pic:blipFill>
                        <pic:spPr bwMode="auto">
                          <a:xfrm>
                            <a:off x="0" y="0"/>
                            <a:ext cx="415290" cy="584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62" w:type="dxa"/>
            <w:tcBorders>
              <w:top w:val="single" w:sz="4" w:space="0" w:color="auto"/>
              <w:left w:val="single" w:sz="4" w:space="0" w:color="auto"/>
              <w:bottom w:val="single" w:sz="4" w:space="0" w:color="auto"/>
              <w:right w:val="single" w:sz="4" w:space="0" w:color="auto"/>
            </w:tcBorders>
            <w:vAlign w:val="center"/>
          </w:tcPr>
          <w:p w14:paraId="30443210" w14:textId="397D0119" w:rsidR="001B719C" w:rsidRPr="00851D82" w:rsidRDefault="001B719C" w:rsidP="001B719C">
            <w:pPr>
              <w:jc w:val="center"/>
              <w:rPr>
                <w:rFonts w:cs="Arial"/>
                <w:sz w:val="14"/>
                <w:szCs w:val="10"/>
                <w:lang w:eastAsia="zh-CN"/>
              </w:rPr>
            </w:pPr>
            <w:r w:rsidRPr="00851D82">
              <w:rPr>
                <w:rFonts w:cs="Arial"/>
                <w:noProof/>
                <w:sz w:val="14"/>
                <w:szCs w:val="10"/>
                <w:lang w:eastAsia="zh-CN"/>
              </w:rPr>
              <w:drawing>
                <wp:anchor distT="0" distB="0" distL="114300" distR="114300" simplePos="0" relativeHeight="251687936" behindDoc="1" locked="0" layoutInCell="1" allowOverlap="1" wp14:anchorId="0B9FF015" wp14:editId="7D901473">
                  <wp:simplePos x="0" y="0"/>
                  <wp:positionH relativeFrom="column">
                    <wp:posOffset>-73660</wp:posOffset>
                  </wp:positionH>
                  <wp:positionV relativeFrom="paragraph">
                    <wp:posOffset>64770</wp:posOffset>
                  </wp:positionV>
                  <wp:extent cx="600710" cy="600710"/>
                  <wp:effectExtent l="0" t="0" r="8890" b="0"/>
                  <wp:wrapNone/>
                  <wp:docPr id="9" name="Graphic 9"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ndshake.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1350" w:type="dxa"/>
            <w:tcBorders>
              <w:top w:val="single" w:sz="4" w:space="0" w:color="auto"/>
              <w:left w:val="single" w:sz="4" w:space="0" w:color="auto"/>
              <w:bottom w:val="single" w:sz="4" w:space="0" w:color="auto"/>
              <w:right w:val="single" w:sz="4" w:space="0" w:color="auto"/>
            </w:tcBorders>
            <w:vAlign w:val="center"/>
          </w:tcPr>
          <w:p w14:paraId="434151D3" w14:textId="53FAFC70" w:rsidR="001B719C" w:rsidRPr="00851D82" w:rsidRDefault="001B719C" w:rsidP="001B719C">
            <w:pPr>
              <w:jc w:val="center"/>
              <w:rPr>
                <w:rFonts w:cs="Arial"/>
                <w:sz w:val="14"/>
                <w:szCs w:val="10"/>
                <w:lang w:eastAsia="zh-CN"/>
              </w:rPr>
            </w:pPr>
            <w:r w:rsidRPr="00851D82">
              <w:rPr>
                <w:rFonts w:cs="Arial"/>
                <w:noProof/>
                <w:sz w:val="14"/>
                <w:szCs w:val="10"/>
                <w:lang w:eastAsia="zh-CN"/>
              </w:rPr>
              <w:drawing>
                <wp:anchor distT="0" distB="0" distL="114300" distR="114300" simplePos="0" relativeHeight="251689984" behindDoc="1" locked="0" layoutInCell="1" allowOverlap="1" wp14:anchorId="5EB33BB6" wp14:editId="65ED0136">
                  <wp:simplePos x="0" y="0"/>
                  <wp:positionH relativeFrom="column">
                    <wp:posOffset>57150</wp:posOffset>
                  </wp:positionH>
                  <wp:positionV relativeFrom="paragraph">
                    <wp:posOffset>-5080</wp:posOffset>
                  </wp:positionV>
                  <wp:extent cx="608330" cy="554355"/>
                  <wp:effectExtent l="0" t="0" r="1270" b="0"/>
                  <wp:wrapNone/>
                  <wp:docPr id="10" name="Graphic 10" descr="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inter.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8330" cy="554355"/>
                          </a:xfrm>
                          <a:prstGeom prst="rect">
                            <a:avLst/>
                          </a:prstGeom>
                        </pic:spPr>
                      </pic:pic>
                    </a:graphicData>
                  </a:graphic>
                  <wp14:sizeRelH relativeFrom="margin">
                    <wp14:pctWidth>0</wp14:pctWidth>
                  </wp14:sizeRelH>
                  <wp14:sizeRelV relativeFrom="margin">
                    <wp14:pctHeight>0</wp14:pctHeight>
                  </wp14:sizeRelV>
                </wp:anchor>
              </w:drawing>
            </w:r>
          </w:p>
        </w:tc>
        <w:tc>
          <w:tcPr>
            <w:tcW w:w="1080" w:type="dxa"/>
            <w:tcBorders>
              <w:top w:val="single" w:sz="4" w:space="0" w:color="auto"/>
              <w:left w:val="single" w:sz="4" w:space="0" w:color="auto"/>
              <w:bottom w:val="single" w:sz="4" w:space="0" w:color="auto"/>
              <w:right w:val="single" w:sz="4" w:space="0" w:color="auto"/>
            </w:tcBorders>
            <w:vAlign w:val="center"/>
          </w:tcPr>
          <w:p w14:paraId="3BECE677" w14:textId="38023FEA" w:rsidR="001B719C" w:rsidRPr="00851D82" w:rsidRDefault="009326D6" w:rsidP="001B719C">
            <w:pPr>
              <w:jc w:val="center"/>
              <w:rPr>
                <w:rFonts w:cs="Arial"/>
                <w:sz w:val="14"/>
                <w:szCs w:val="10"/>
                <w:lang w:eastAsia="zh-CN"/>
              </w:rPr>
            </w:pPr>
            <w:r w:rsidRPr="00851D82">
              <w:rPr>
                <w:rFonts w:cs="Arial"/>
                <w:noProof/>
                <w:sz w:val="14"/>
                <w:szCs w:val="10"/>
                <w:lang w:eastAsia="zh-CN"/>
              </w:rPr>
              <w:drawing>
                <wp:anchor distT="0" distB="0" distL="114300" distR="114300" simplePos="0" relativeHeight="251691008" behindDoc="1" locked="0" layoutInCell="1" allowOverlap="1" wp14:anchorId="500628E4" wp14:editId="02BA0DD5">
                  <wp:simplePos x="0" y="0"/>
                  <wp:positionH relativeFrom="column">
                    <wp:posOffset>-8255</wp:posOffset>
                  </wp:positionH>
                  <wp:positionV relativeFrom="paragraph">
                    <wp:posOffset>-52070</wp:posOffset>
                  </wp:positionV>
                  <wp:extent cx="660400" cy="708660"/>
                  <wp:effectExtent l="0" t="0" r="6350" b="0"/>
                  <wp:wrapNone/>
                  <wp:docPr id="11" name="Graphic 11"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ardroom.svg"/>
                          <pic:cNvPicPr/>
                        </pic:nvPicPr>
                        <pic:blipFill rotWithShape="1">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rcRect l="6741"/>
                          <a:stretch/>
                        </pic:blipFill>
                        <pic:spPr bwMode="auto">
                          <a:xfrm>
                            <a:off x="0" y="0"/>
                            <a:ext cx="660400" cy="708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93" w:type="dxa"/>
            <w:tcBorders>
              <w:top w:val="single" w:sz="4" w:space="0" w:color="auto"/>
              <w:left w:val="single" w:sz="4" w:space="0" w:color="auto"/>
              <w:bottom w:val="single" w:sz="4" w:space="0" w:color="auto"/>
              <w:right w:val="single" w:sz="4" w:space="0" w:color="auto"/>
            </w:tcBorders>
            <w:vAlign w:val="center"/>
          </w:tcPr>
          <w:p w14:paraId="0A5242C5" w14:textId="3C7C6B47" w:rsidR="001B719C" w:rsidRPr="00851D82" w:rsidRDefault="001B719C" w:rsidP="001B719C">
            <w:pPr>
              <w:jc w:val="center"/>
              <w:rPr>
                <w:rFonts w:cs="Arial"/>
                <w:sz w:val="14"/>
                <w:szCs w:val="10"/>
                <w:lang w:eastAsia="zh-CN"/>
              </w:rPr>
            </w:pPr>
            <w:r w:rsidRPr="00851D82">
              <w:rPr>
                <w:rFonts w:cs="Arial"/>
                <w:noProof/>
                <w:sz w:val="14"/>
                <w:szCs w:val="10"/>
                <w:lang w:eastAsia="zh-CN"/>
              </w:rPr>
              <w:drawing>
                <wp:anchor distT="0" distB="0" distL="114300" distR="114300" simplePos="0" relativeHeight="251695104" behindDoc="0" locked="0" layoutInCell="1" allowOverlap="1" wp14:anchorId="0C2C5A50" wp14:editId="791A9F40">
                  <wp:simplePos x="0" y="0"/>
                  <wp:positionH relativeFrom="column">
                    <wp:posOffset>36830</wp:posOffset>
                  </wp:positionH>
                  <wp:positionV relativeFrom="paragraph">
                    <wp:posOffset>5715</wp:posOffset>
                  </wp:positionV>
                  <wp:extent cx="474980" cy="474980"/>
                  <wp:effectExtent l="0" t="0" r="0" b="1270"/>
                  <wp:wrapNone/>
                  <wp:docPr id="12" name="Graphic 12" descr="Group 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oupbrainstorm.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74980" cy="474980"/>
                          </a:xfrm>
                          <a:prstGeom prst="rect">
                            <a:avLst/>
                          </a:prstGeom>
                        </pic:spPr>
                      </pic:pic>
                    </a:graphicData>
                  </a:graphic>
                  <wp14:sizeRelH relativeFrom="margin">
                    <wp14:pctWidth>0</wp14:pctWidth>
                  </wp14:sizeRelH>
                  <wp14:sizeRelV relativeFrom="margin">
                    <wp14:pctHeight>0</wp14:pctHeight>
                  </wp14:sizeRelV>
                </wp:anchor>
              </w:drawing>
            </w:r>
          </w:p>
        </w:tc>
        <w:tc>
          <w:tcPr>
            <w:tcW w:w="1067" w:type="dxa"/>
            <w:tcBorders>
              <w:top w:val="single" w:sz="4" w:space="0" w:color="auto"/>
              <w:left w:val="single" w:sz="4" w:space="0" w:color="auto"/>
              <w:bottom w:val="single" w:sz="4" w:space="0" w:color="auto"/>
              <w:right w:val="single" w:sz="4" w:space="0" w:color="auto"/>
            </w:tcBorders>
            <w:vAlign w:val="center"/>
          </w:tcPr>
          <w:p w14:paraId="6EA5047D" w14:textId="77777777" w:rsidR="001B719C" w:rsidRPr="00851D82" w:rsidRDefault="00B800A5" w:rsidP="001B719C">
            <w:pPr>
              <w:jc w:val="center"/>
              <w:rPr>
                <w:rFonts w:cs="Arial"/>
                <w:sz w:val="14"/>
                <w:szCs w:val="10"/>
                <w:lang w:eastAsia="zh-CN"/>
              </w:rPr>
            </w:pPr>
            <w:r>
              <w:rPr>
                <w:rFonts w:cs="Arial"/>
                <w:noProof/>
                <w:sz w:val="14"/>
                <w:szCs w:val="10"/>
                <w:lang w:eastAsia="zh-CN"/>
              </w:rPr>
              <w:drawing>
                <wp:anchor distT="0" distB="0" distL="114300" distR="114300" simplePos="0" relativeHeight="251698176" behindDoc="0" locked="0" layoutInCell="1" allowOverlap="1" wp14:anchorId="6F0BA2D5" wp14:editId="1084397D">
                  <wp:simplePos x="0" y="0"/>
                  <wp:positionH relativeFrom="column">
                    <wp:posOffset>262890</wp:posOffset>
                  </wp:positionH>
                  <wp:positionV relativeFrom="paragraph">
                    <wp:posOffset>67945</wp:posOffset>
                  </wp:positionV>
                  <wp:extent cx="260350" cy="260350"/>
                  <wp:effectExtent l="0" t="0" r="6350" b="6350"/>
                  <wp:wrapNone/>
                  <wp:docPr id="1654722167" name="Graphic 5"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22167" name="Graphic 1654722167" descr="Badge Unfollow with solid fill"/>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60350" cy="26035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4"/>
                <w:szCs w:val="10"/>
                <w:lang w:eastAsia="zh-CN"/>
              </w:rPr>
              <w:drawing>
                <wp:anchor distT="0" distB="0" distL="114300" distR="114300" simplePos="0" relativeHeight="251697152" behindDoc="0" locked="0" layoutInCell="1" allowOverlap="1" wp14:anchorId="79DE89B7" wp14:editId="4C8F5FF4">
                  <wp:simplePos x="0" y="0"/>
                  <wp:positionH relativeFrom="column">
                    <wp:posOffset>2540</wp:posOffset>
                  </wp:positionH>
                  <wp:positionV relativeFrom="paragraph">
                    <wp:posOffset>-23495</wp:posOffset>
                  </wp:positionV>
                  <wp:extent cx="254000" cy="254000"/>
                  <wp:effectExtent l="0" t="0" r="0" b="0"/>
                  <wp:wrapNone/>
                  <wp:docPr id="1868914432" name="Graphic 3" descr="Badge 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14432" name="Graphic 1868914432" descr="Badge Follow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54000" cy="254000"/>
                          </a:xfrm>
                          <a:prstGeom prst="rect">
                            <a:avLst/>
                          </a:prstGeom>
                        </pic:spPr>
                      </pic:pic>
                    </a:graphicData>
                  </a:graphic>
                  <wp14:sizeRelH relativeFrom="margin">
                    <wp14:pctWidth>0</wp14:pctWidth>
                  </wp14:sizeRelH>
                  <wp14:sizeRelV relativeFrom="margin">
                    <wp14:pctHeight>0</wp14:pctHeight>
                  </wp14:sizeRelV>
                </wp:anchor>
              </w:drawing>
            </w:r>
          </w:p>
        </w:tc>
      </w:tr>
      <w:tr w:rsidR="001B719C" w:rsidRPr="00851D82" w14:paraId="37195F23" w14:textId="77777777" w:rsidTr="008B7DD1">
        <w:trPr>
          <w:trHeight w:val="557"/>
          <w:jc w:val="center"/>
        </w:trPr>
        <w:tc>
          <w:tcPr>
            <w:tcW w:w="3145" w:type="dxa"/>
            <w:gridSpan w:val="4"/>
            <w:tcBorders>
              <w:top w:val="single" w:sz="4" w:space="0" w:color="auto"/>
            </w:tcBorders>
            <w:vAlign w:val="center"/>
          </w:tcPr>
          <w:p w14:paraId="52439BC3" w14:textId="77777777" w:rsidR="001B719C" w:rsidRPr="00851D82" w:rsidRDefault="001B719C" w:rsidP="001B719C">
            <w:pPr>
              <w:jc w:val="center"/>
              <w:rPr>
                <w:rFonts w:cs="Arial"/>
                <w:noProof/>
                <w:sz w:val="14"/>
                <w:szCs w:val="10"/>
                <w:lang w:eastAsia="zh-CN"/>
              </w:rPr>
            </w:pPr>
            <w:r>
              <w:rPr>
                <w:rFonts w:cs="Arial"/>
                <w:noProof/>
                <w:sz w:val="14"/>
                <w:szCs w:val="10"/>
                <w:lang w:eastAsia="zh-CN"/>
              </w:rPr>
              <w:t xml:space="preserve">Client fills out and returns to BC.  </w:t>
            </w:r>
          </w:p>
          <w:p w14:paraId="4CBD7630" w14:textId="0F94E2B3" w:rsidR="001B719C" w:rsidRPr="00851D82" w:rsidRDefault="001B719C" w:rsidP="001B719C">
            <w:pPr>
              <w:jc w:val="center"/>
              <w:rPr>
                <w:rFonts w:cs="Arial"/>
                <w:noProof/>
                <w:sz w:val="14"/>
                <w:szCs w:val="10"/>
                <w:lang w:eastAsia="zh-CN"/>
              </w:rPr>
            </w:pPr>
            <w:r>
              <w:rPr>
                <w:rFonts w:cs="Arial"/>
                <w:noProof/>
                <w:sz w:val="14"/>
                <w:szCs w:val="10"/>
                <w:lang w:eastAsia="zh-CN"/>
              </w:rPr>
              <w:t>Could take up to 30 days.*</w:t>
            </w:r>
          </w:p>
        </w:tc>
        <w:tc>
          <w:tcPr>
            <w:tcW w:w="2700" w:type="dxa"/>
            <w:gridSpan w:val="3"/>
            <w:tcBorders>
              <w:top w:val="single" w:sz="4" w:space="0" w:color="auto"/>
            </w:tcBorders>
            <w:vAlign w:val="center"/>
          </w:tcPr>
          <w:p w14:paraId="69D2BBC4" w14:textId="71D0141F" w:rsidR="001B719C" w:rsidRPr="00851D82" w:rsidRDefault="001B719C" w:rsidP="001B719C">
            <w:pPr>
              <w:jc w:val="center"/>
              <w:rPr>
                <w:rFonts w:cs="Arial"/>
                <w:noProof/>
                <w:sz w:val="14"/>
                <w:szCs w:val="10"/>
                <w:lang w:eastAsia="zh-CN"/>
              </w:rPr>
            </w:pPr>
          </w:p>
          <w:p w14:paraId="547A4CE8" w14:textId="055E7766" w:rsidR="001B719C" w:rsidRPr="00851D82" w:rsidRDefault="001B719C" w:rsidP="001B719C">
            <w:pPr>
              <w:jc w:val="center"/>
              <w:rPr>
                <w:rFonts w:cs="Arial"/>
                <w:noProof/>
                <w:sz w:val="14"/>
                <w:szCs w:val="10"/>
                <w:lang w:eastAsia="zh-CN"/>
              </w:rPr>
            </w:pPr>
            <w:r w:rsidRPr="00851D82">
              <w:rPr>
                <w:rFonts w:cs="Arial"/>
                <w:noProof/>
                <w:sz w:val="14"/>
                <w:szCs w:val="10"/>
                <w:lang w:eastAsia="zh-CN"/>
              </w:rPr>
              <w:t>1-2 Weeks</w:t>
            </w:r>
            <w:r w:rsidR="00BC3A17">
              <w:rPr>
                <w:rFonts w:cs="Arial"/>
                <w:noProof/>
                <w:sz w:val="14"/>
                <w:szCs w:val="10"/>
                <w:lang w:eastAsia="zh-CN"/>
              </w:rPr>
              <w:t>*</w:t>
            </w:r>
          </w:p>
          <w:p w14:paraId="4C12FC0F" w14:textId="77777777" w:rsidR="001B719C" w:rsidRPr="00851D82" w:rsidRDefault="001B719C" w:rsidP="001B719C">
            <w:pPr>
              <w:jc w:val="center"/>
              <w:rPr>
                <w:rFonts w:cs="Arial"/>
                <w:noProof/>
                <w:sz w:val="14"/>
                <w:szCs w:val="10"/>
                <w:lang w:eastAsia="zh-CN"/>
              </w:rPr>
            </w:pPr>
          </w:p>
        </w:tc>
        <w:tc>
          <w:tcPr>
            <w:tcW w:w="1350" w:type="dxa"/>
            <w:tcBorders>
              <w:top w:val="single" w:sz="4" w:space="0" w:color="auto"/>
            </w:tcBorders>
            <w:vAlign w:val="center"/>
          </w:tcPr>
          <w:p w14:paraId="0C70BB16" w14:textId="74E33CC6" w:rsidR="001B719C" w:rsidRPr="00851D82" w:rsidRDefault="001B719C" w:rsidP="001B719C">
            <w:pPr>
              <w:jc w:val="center"/>
              <w:rPr>
                <w:rFonts w:cs="Arial"/>
                <w:noProof/>
                <w:sz w:val="14"/>
                <w:szCs w:val="10"/>
                <w:lang w:eastAsia="zh-CN"/>
              </w:rPr>
            </w:pPr>
            <w:r w:rsidRPr="00851D82">
              <w:rPr>
                <w:rFonts w:cs="Arial"/>
                <w:noProof/>
                <w:sz w:val="14"/>
                <w:szCs w:val="10"/>
                <w:lang w:eastAsia="zh-CN"/>
              </w:rPr>
              <w:t>2-4 Weeks*</w:t>
            </w:r>
          </w:p>
          <w:p w14:paraId="0F5C96E8" w14:textId="12812AE5" w:rsidR="001B719C" w:rsidRPr="00851D82" w:rsidRDefault="001B719C" w:rsidP="001B719C">
            <w:pPr>
              <w:jc w:val="center"/>
              <w:rPr>
                <w:rFonts w:cs="Arial"/>
                <w:noProof/>
                <w:sz w:val="14"/>
                <w:szCs w:val="10"/>
                <w:lang w:eastAsia="zh-CN"/>
              </w:rPr>
            </w:pPr>
            <w:r w:rsidRPr="00851D82">
              <w:rPr>
                <w:rFonts w:cs="Arial"/>
                <w:noProof/>
                <w:sz w:val="14"/>
                <w:szCs w:val="10"/>
                <w:lang w:eastAsia="zh-CN"/>
              </w:rPr>
              <w:t>(Preparation)</w:t>
            </w:r>
          </w:p>
        </w:tc>
        <w:tc>
          <w:tcPr>
            <w:tcW w:w="1080" w:type="dxa"/>
            <w:tcBorders>
              <w:top w:val="single" w:sz="4" w:space="0" w:color="auto"/>
            </w:tcBorders>
            <w:vAlign w:val="center"/>
          </w:tcPr>
          <w:p w14:paraId="57721620" w14:textId="77777777" w:rsidR="001B719C" w:rsidRPr="009A008B" w:rsidRDefault="001B719C" w:rsidP="001B719C">
            <w:pPr>
              <w:jc w:val="center"/>
              <w:rPr>
                <w:rFonts w:cs="Arial"/>
                <w:noProof/>
                <w:sz w:val="14"/>
                <w:szCs w:val="10"/>
                <w:lang w:eastAsia="zh-CN"/>
              </w:rPr>
            </w:pPr>
            <w:r w:rsidRPr="009A008B">
              <w:rPr>
                <w:rFonts w:cs="Arial"/>
                <w:noProof/>
                <w:sz w:val="14"/>
                <w:szCs w:val="10"/>
                <w:lang w:eastAsia="zh-CN"/>
              </w:rPr>
              <w:t>1 Day</w:t>
            </w:r>
          </w:p>
          <w:p w14:paraId="6E15F262" w14:textId="24BF3C1E" w:rsidR="001B719C" w:rsidRPr="009A008B" w:rsidRDefault="001B719C" w:rsidP="001B719C">
            <w:pPr>
              <w:jc w:val="center"/>
              <w:rPr>
                <w:rFonts w:cs="Arial"/>
                <w:noProof/>
                <w:sz w:val="14"/>
                <w:szCs w:val="10"/>
                <w:lang w:eastAsia="zh-CN"/>
              </w:rPr>
            </w:pPr>
            <w:r w:rsidRPr="009A008B">
              <w:rPr>
                <w:rFonts w:cs="Arial"/>
                <w:noProof/>
                <w:sz w:val="14"/>
                <w:szCs w:val="10"/>
                <w:lang w:eastAsia="zh-CN"/>
              </w:rPr>
              <w:t xml:space="preserve"> per site</w:t>
            </w:r>
          </w:p>
        </w:tc>
        <w:tc>
          <w:tcPr>
            <w:tcW w:w="1093" w:type="dxa"/>
            <w:tcBorders>
              <w:top w:val="single" w:sz="4" w:space="0" w:color="auto"/>
            </w:tcBorders>
            <w:vAlign w:val="center"/>
          </w:tcPr>
          <w:p w14:paraId="2EAF406C" w14:textId="7FB6AA11" w:rsidR="001B719C" w:rsidRPr="009A008B" w:rsidRDefault="001B719C" w:rsidP="001B719C">
            <w:pPr>
              <w:jc w:val="center"/>
              <w:rPr>
                <w:rFonts w:cs="Arial"/>
                <w:noProof/>
                <w:sz w:val="14"/>
                <w:szCs w:val="10"/>
                <w:lang w:eastAsia="zh-CN"/>
              </w:rPr>
            </w:pPr>
            <w:r w:rsidRPr="009A008B">
              <w:rPr>
                <w:rFonts w:cs="Arial"/>
                <w:noProof/>
                <w:sz w:val="14"/>
                <w:szCs w:val="10"/>
                <w:lang w:eastAsia="zh-CN"/>
              </w:rPr>
              <w:t>30 days – 6 months*</w:t>
            </w:r>
          </w:p>
          <w:p w14:paraId="5B008AF7" w14:textId="14472F00" w:rsidR="001B719C" w:rsidRPr="009A008B" w:rsidRDefault="001B719C" w:rsidP="001B719C">
            <w:pPr>
              <w:jc w:val="center"/>
              <w:rPr>
                <w:rFonts w:cs="Arial"/>
                <w:noProof/>
                <w:sz w:val="14"/>
                <w:szCs w:val="10"/>
                <w:lang w:eastAsia="zh-CN"/>
              </w:rPr>
            </w:pPr>
            <w:r w:rsidRPr="009A008B">
              <w:rPr>
                <w:rFonts w:cs="Arial"/>
                <w:noProof/>
                <w:sz w:val="14"/>
                <w:szCs w:val="10"/>
                <w:lang w:eastAsia="zh-CN"/>
              </w:rPr>
              <w:t>(Preparation)</w:t>
            </w:r>
          </w:p>
        </w:tc>
        <w:tc>
          <w:tcPr>
            <w:tcW w:w="1067" w:type="dxa"/>
            <w:tcBorders>
              <w:top w:val="single" w:sz="4" w:space="0" w:color="auto"/>
            </w:tcBorders>
            <w:vAlign w:val="center"/>
          </w:tcPr>
          <w:p w14:paraId="3EE01F31" w14:textId="59190691" w:rsidR="001B719C" w:rsidRPr="009A008B" w:rsidRDefault="001B719C" w:rsidP="001B719C">
            <w:pPr>
              <w:jc w:val="center"/>
              <w:rPr>
                <w:rFonts w:cs="Arial"/>
                <w:noProof/>
                <w:sz w:val="14"/>
                <w:szCs w:val="10"/>
                <w:lang w:eastAsia="zh-CN"/>
              </w:rPr>
            </w:pPr>
            <w:r w:rsidRPr="009A008B">
              <w:rPr>
                <w:rFonts w:cs="Arial"/>
                <w:noProof/>
                <w:sz w:val="14"/>
                <w:szCs w:val="10"/>
                <w:lang w:eastAsia="zh-CN"/>
              </w:rPr>
              <w:t>1</w:t>
            </w:r>
            <w:r w:rsidRPr="009A008B">
              <w:rPr>
                <w:rFonts w:cs="Arial"/>
                <w:sz w:val="14"/>
                <w:szCs w:val="10"/>
              </w:rPr>
              <w:t>0 Business Days</w:t>
            </w:r>
          </w:p>
        </w:tc>
      </w:tr>
      <w:tr w:rsidR="001B719C" w:rsidRPr="00851D82" w14:paraId="67ADD16D" w14:textId="01BB3548" w:rsidTr="00577798">
        <w:trPr>
          <w:trHeight w:val="455"/>
          <w:jc w:val="center"/>
        </w:trPr>
        <w:tc>
          <w:tcPr>
            <w:tcW w:w="3135" w:type="dxa"/>
            <w:gridSpan w:val="3"/>
            <w:vAlign w:val="center"/>
          </w:tcPr>
          <w:p w14:paraId="06B84EA5" w14:textId="1CC9E6EB" w:rsidR="001B719C" w:rsidRPr="00851D82" w:rsidRDefault="001B719C" w:rsidP="001B719C">
            <w:pPr>
              <w:jc w:val="both"/>
              <w:rPr>
                <w:rFonts w:cs="Arial"/>
                <w:noProof/>
                <w:sz w:val="14"/>
                <w:szCs w:val="10"/>
                <w:lang w:eastAsia="zh-CN"/>
              </w:rPr>
            </w:pPr>
            <w:r>
              <w:rPr>
                <w:rFonts w:cs="Arial"/>
                <w:noProof/>
                <w:sz w:val="14"/>
                <w:szCs w:val="10"/>
                <w:lang w:eastAsia="zh-CN"/>
              </w:rPr>
              <w:t>*This is the estimation according to BC.  For more information, please contact Better Cotton.</w:t>
            </w:r>
          </w:p>
        </w:tc>
        <w:tc>
          <w:tcPr>
            <w:tcW w:w="7300" w:type="dxa"/>
            <w:gridSpan w:val="8"/>
            <w:vAlign w:val="center"/>
          </w:tcPr>
          <w:p w14:paraId="05F7AE14" w14:textId="57E37309" w:rsidR="001B719C" w:rsidRPr="00851D82" w:rsidRDefault="001B719C" w:rsidP="001B719C">
            <w:pPr>
              <w:jc w:val="both"/>
              <w:rPr>
                <w:rFonts w:cs="Arial"/>
                <w:noProof/>
                <w:sz w:val="14"/>
                <w:szCs w:val="10"/>
                <w:lang w:eastAsia="zh-CN"/>
              </w:rPr>
            </w:pPr>
            <w:r w:rsidRPr="00851D82">
              <w:rPr>
                <w:rFonts w:cs="Arial"/>
                <w:noProof/>
                <w:sz w:val="14"/>
                <w:szCs w:val="10"/>
                <w:lang w:eastAsia="zh-CN"/>
              </w:rPr>
              <w:t>*This is the average time period for client preparation and is dependent on the time it takes the client to prepare the necessary documents and actions to become certified. This time can be shorter or longer depending on client preparation.</w:t>
            </w:r>
          </w:p>
        </w:tc>
      </w:tr>
    </w:tbl>
    <w:p w14:paraId="04A1B87A" w14:textId="6683A74D" w:rsidR="00347871" w:rsidRDefault="00347871" w:rsidP="00B779F1">
      <w:pPr>
        <w:pStyle w:val="Heading1"/>
        <w:numPr>
          <w:ilvl w:val="0"/>
          <w:numId w:val="35"/>
        </w:numPr>
        <w:rPr>
          <w:lang w:eastAsia="zh-CN"/>
        </w:rPr>
      </w:pPr>
      <w:bookmarkStart w:id="4" w:name="_Toc158293486"/>
      <w:bookmarkStart w:id="5" w:name="_Toc158626678"/>
      <w:r w:rsidRPr="003F6B41">
        <w:rPr>
          <w:lang w:eastAsia="zh-CN"/>
        </w:rPr>
        <w:t>Better Cotton Registration</w:t>
      </w:r>
      <w:bookmarkEnd w:id="4"/>
      <w:bookmarkEnd w:id="5"/>
    </w:p>
    <w:p w14:paraId="5F61E8F7" w14:textId="532E564E" w:rsidR="00C412B5" w:rsidRPr="00C412B5" w:rsidRDefault="00C412B5" w:rsidP="00574F6D">
      <w:pPr>
        <w:pStyle w:val="Heading2"/>
        <w:numPr>
          <w:ilvl w:val="1"/>
          <w:numId w:val="35"/>
        </w:numPr>
        <w:ind w:left="990" w:hanging="630"/>
        <w:rPr>
          <w:lang w:eastAsia="zh-CN"/>
        </w:rPr>
      </w:pPr>
      <w:bookmarkStart w:id="6" w:name="_Toc158626679"/>
      <w:r>
        <w:rPr>
          <w:lang w:eastAsia="zh-CN"/>
        </w:rPr>
        <w:t xml:space="preserve">Better Cotton </w:t>
      </w:r>
      <w:r w:rsidR="00574F6D">
        <w:rPr>
          <w:lang w:eastAsia="zh-CN"/>
        </w:rPr>
        <w:t>CoC Registration Process</w:t>
      </w:r>
      <w:bookmarkEnd w:id="6"/>
    </w:p>
    <w:p w14:paraId="15D924C8" w14:textId="77777777" w:rsidR="005F03A3" w:rsidRDefault="005F03A3" w:rsidP="001F17BB">
      <w:pPr>
        <w:rPr>
          <w:rFonts w:cs="Arial"/>
          <w:lang w:eastAsia="zh-CN"/>
        </w:rPr>
      </w:pPr>
      <w:bookmarkStart w:id="7" w:name="_Toc158293487"/>
      <w:bookmarkEnd w:id="7"/>
    </w:p>
    <w:p w14:paraId="064A815B" w14:textId="3C541B17" w:rsidR="003F6B41" w:rsidRDefault="00DD151A" w:rsidP="00A87CE6">
      <w:pPr>
        <w:ind w:left="360"/>
        <w:rPr>
          <w:rFonts w:cs="Arial"/>
          <w:lang w:eastAsia="zh-CN"/>
        </w:rPr>
      </w:pPr>
      <w:r>
        <w:rPr>
          <w:rFonts w:cs="Arial"/>
          <w:lang w:eastAsia="zh-CN"/>
        </w:rPr>
        <w:t>O</w:t>
      </w:r>
      <w:r w:rsidR="00904B0B">
        <w:rPr>
          <w:rFonts w:cs="Arial"/>
          <w:lang w:eastAsia="zh-CN"/>
        </w:rPr>
        <w:t xml:space="preserve">rganizations </w:t>
      </w:r>
      <w:r>
        <w:rPr>
          <w:rFonts w:cs="Arial"/>
          <w:lang w:eastAsia="zh-CN"/>
        </w:rPr>
        <w:t xml:space="preserve">who are interested in BC CoC </w:t>
      </w:r>
      <w:r w:rsidR="00904B0B">
        <w:rPr>
          <w:rFonts w:cs="Arial"/>
          <w:lang w:eastAsia="zh-CN"/>
        </w:rPr>
        <w:t>will</w:t>
      </w:r>
      <w:r>
        <w:rPr>
          <w:rFonts w:cs="Arial"/>
          <w:lang w:eastAsia="zh-CN"/>
        </w:rPr>
        <w:t xml:space="preserve"> need to fill out a regis</w:t>
      </w:r>
      <w:r w:rsidR="00904B0B">
        <w:rPr>
          <w:rFonts w:cs="Arial"/>
          <w:lang w:eastAsia="zh-CN"/>
        </w:rPr>
        <w:t>tration form from BC</w:t>
      </w:r>
      <w:r>
        <w:rPr>
          <w:rFonts w:cs="Arial"/>
          <w:lang w:eastAsia="zh-CN"/>
        </w:rPr>
        <w:t xml:space="preserve">.  </w:t>
      </w:r>
      <w:r w:rsidR="00B535FF">
        <w:rPr>
          <w:rFonts w:cs="Arial"/>
          <w:lang w:eastAsia="zh-CN"/>
        </w:rPr>
        <w:t xml:space="preserve">After BC reviews the registration </w:t>
      </w:r>
      <w:r>
        <w:rPr>
          <w:rFonts w:cs="Arial"/>
          <w:lang w:eastAsia="zh-CN"/>
        </w:rPr>
        <w:t xml:space="preserve">application </w:t>
      </w:r>
      <w:r w:rsidR="00B535FF">
        <w:rPr>
          <w:rFonts w:cs="Arial"/>
          <w:lang w:eastAsia="zh-CN"/>
        </w:rPr>
        <w:t xml:space="preserve">form, they will assign a </w:t>
      </w:r>
      <w:r>
        <w:rPr>
          <w:rFonts w:cs="Arial"/>
          <w:lang w:eastAsia="zh-CN"/>
        </w:rPr>
        <w:t>Risk Ca</w:t>
      </w:r>
      <w:r w:rsidR="00B535FF">
        <w:rPr>
          <w:rFonts w:cs="Arial"/>
          <w:lang w:eastAsia="zh-CN"/>
        </w:rPr>
        <w:t>tegory to the organization</w:t>
      </w:r>
      <w:r>
        <w:rPr>
          <w:rFonts w:cs="Arial"/>
          <w:lang w:eastAsia="zh-CN"/>
        </w:rPr>
        <w:t xml:space="preserve"> that has been approved for the Chain of Custody program</w:t>
      </w:r>
      <w:r w:rsidR="00B535FF">
        <w:rPr>
          <w:rFonts w:cs="Arial"/>
          <w:lang w:eastAsia="zh-CN"/>
        </w:rPr>
        <w:t>.</w:t>
      </w:r>
      <w:r w:rsidR="00713B52">
        <w:rPr>
          <w:rFonts w:cs="Arial"/>
          <w:lang w:eastAsia="zh-CN"/>
        </w:rPr>
        <w:t xml:space="preserve">  </w:t>
      </w:r>
    </w:p>
    <w:p w14:paraId="0C772908" w14:textId="77777777" w:rsidR="00DD151A" w:rsidRDefault="00DD151A" w:rsidP="00DD151A">
      <w:pPr>
        <w:rPr>
          <w:rFonts w:cs="Arial"/>
          <w:lang w:eastAsia="zh-CN"/>
        </w:rPr>
      </w:pPr>
    </w:p>
    <w:p w14:paraId="5B95C3F3" w14:textId="7698E832" w:rsidR="00DD151A" w:rsidRDefault="00DD151A" w:rsidP="00DD151A">
      <w:pPr>
        <w:pStyle w:val="ListParagraph"/>
        <w:numPr>
          <w:ilvl w:val="0"/>
          <w:numId w:val="43"/>
        </w:numPr>
        <w:rPr>
          <w:rFonts w:cs="Arial"/>
          <w:sz w:val="22"/>
          <w:szCs w:val="18"/>
          <w:lang w:eastAsia="zh-CN"/>
        </w:rPr>
      </w:pPr>
      <w:r>
        <w:rPr>
          <w:rFonts w:cs="Arial"/>
          <w:sz w:val="22"/>
          <w:szCs w:val="18"/>
          <w:lang w:eastAsia="zh-CN"/>
        </w:rPr>
        <w:t>If you a B</w:t>
      </w:r>
      <w:r w:rsidR="00A5188F">
        <w:rPr>
          <w:rFonts w:cs="Arial"/>
          <w:sz w:val="22"/>
          <w:szCs w:val="18"/>
          <w:lang w:eastAsia="zh-CN"/>
        </w:rPr>
        <w:t xml:space="preserve">etter </w:t>
      </w:r>
      <w:r>
        <w:rPr>
          <w:rFonts w:cs="Arial"/>
          <w:sz w:val="22"/>
          <w:szCs w:val="18"/>
          <w:lang w:eastAsia="zh-CN"/>
        </w:rPr>
        <w:t>C</w:t>
      </w:r>
      <w:r w:rsidR="00A5188F">
        <w:rPr>
          <w:rFonts w:cs="Arial"/>
          <w:sz w:val="22"/>
          <w:szCs w:val="18"/>
          <w:lang w:eastAsia="zh-CN"/>
        </w:rPr>
        <w:t>otton</w:t>
      </w:r>
      <w:r>
        <w:rPr>
          <w:rFonts w:cs="Arial"/>
          <w:sz w:val="22"/>
          <w:szCs w:val="18"/>
          <w:lang w:eastAsia="zh-CN"/>
        </w:rPr>
        <w:t xml:space="preserve"> RB Member, visit the </w:t>
      </w:r>
      <w:hyperlink r:id="rId33" w:history="1">
        <w:proofErr w:type="spellStart"/>
        <w:r w:rsidRPr="00A5188F">
          <w:rPr>
            <w:rStyle w:val="Hyperlink"/>
            <w:rFonts w:cs="Arial"/>
            <w:sz w:val="22"/>
            <w:szCs w:val="18"/>
            <w:lang w:eastAsia="zh-CN"/>
          </w:rPr>
          <w:t>myBetterCotton</w:t>
        </w:r>
        <w:proofErr w:type="spellEnd"/>
        <w:r w:rsidRPr="00A5188F">
          <w:rPr>
            <w:rStyle w:val="Hyperlink"/>
            <w:rFonts w:cs="Arial"/>
            <w:sz w:val="22"/>
            <w:szCs w:val="18"/>
            <w:lang w:eastAsia="zh-CN"/>
          </w:rPr>
          <w:t xml:space="preserve"> platform</w:t>
        </w:r>
      </w:hyperlink>
      <w:r>
        <w:rPr>
          <w:rFonts w:cs="Arial"/>
          <w:sz w:val="22"/>
          <w:szCs w:val="18"/>
          <w:lang w:eastAsia="zh-CN"/>
        </w:rPr>
        <w:t xml:space="preserve"> to find out more about how you can start sourcing Traceable Better Cotton.  </w:t>
      </w:r>
    </w:p>
    <w:p w14:paraId="3082AB31" w14:textId="6F215A27" w:rsidR="00A5188F" w:rsidRDefault="00A5188F" w:rsidP="00DD151A">
      <w:pPr>
        <w:pStyle w:val="ListParagraph"/>
        <w:numPr>
          <w:ilvl w:val="0"/>
          <w:numId w:val="43"/>
        </w:numPr>
        <w:rPr>
          <w:rFonts w:cs="Arial"/>
          <w:sz w:val="22"/>
          <w:szCs w:val="18"/>
          <w:lang w:eastAsia="zh-CN"/>
        </w:rPr>
      </w:pPr>
      <w:r>
        <w:rPr>
          <w:rFonts w:cs="Arial"/>
          <w:sz w:val="22"/>
          <w:szCs w:val="18"/>
          <w:lang w:eastAsia="zh-CN"/>
        </w:rPr>
        <w:t>If you are a Better Cotton Supplier, you will first need to be onboarded to the Chain of Custody Standard</w:t>
      </w:r>
      <w:r w:rsidR="003C3968">
        <w:rPr>
          <w:rFonts w:cs="Arial"/>
          <w:sz w:val="22"/>
          <w:szCs w:val="18"/>
          <w:lang w:eastAsia="zh-CN"/>
        </w:rPr>
        <w:t xml:space="preserve">.  </w:t>
      </w:r>
      <w:hyperlink r:id="rId34" w:history="1">
        <w:r w:rsidR="003C3968" w:rsidRPr="003C3968">
          <w:rPr>
            <w:rStyle w:val="Hyperlink"/>
            <w:rFonts w:cs="Arial"/>
            <w:sz w:val="22"/>
            <w:szCs w:val="18"/>
            <w:lang w:eastAsia="zh-CN"/>
          </w:rPr>
          <w:t>Log in to the BCP</w:t>
        </w:r>
      </w:hyperlink>
      <w:r w:rsidR="003C3968">
        <w:rPr>
          <w:rFonts w:cs="Arial"/>
          <w:sz w:val="22"/>
          <w:szCs w:val="18"/>
          <w:lang w:eastAsia="zh-CN"/>
        </w:rPr>
        <w:t xml:space="preserve"> and click on ‘Complete the Chain of Custody Standard Registration Form’ to begin preparing to source Traceable Better Cotton.  For more information about the onboarding process </w:t>
      </w:r>
      <w:hyperlink r:id="rId35" w:history="1">
        <w:r w:rsidR="003C3968" w:rsidRPr="003C3968">
          <w:rPr>
            <w:rStyle w:val="Hyperlink"/>
            <w:rFonts w:cs="Arial"/>
            <w:sz w:val="22"/>
            <w:szCs w:val="18"/>
            <w:lang w:eastAsia="zh-CN"/>
          </w:rPr>
          <w:t>you can find it here</w:t>
        </w:r>
      </w:hyperlink>
      <w:r w:rsidR="003C3968">
        <w:rPr>
          <w:rFonts w:cs="Arial"/>
          <w:sz w:val="22"/>
          <w:szCs w:val="18"/>
          <w:lang w:eastAsia="zh-CN"/>
        </w:rPr>
        <w:t xml:space="preserve">.  </w:t>
      </w:r>
    </w:p>
    <w:p w14:paraId="481B59D9" w14:textId="5FDBAD0B" w:rsidR="0094078A" w:rsidRDefault="0094078A" w:rsidP="00DD151A">
      <w:pPr>
        <w:pStyle w:val="ListParagraph"/>
        <w:numPr>
          <w:ilvl w:val="0"/>
          <w:numId w:val="43"/>
        </w:numPr>
        <w:rPr>
          <w:rFonts w:cs="Arial"/>
          <w:sz w:val="22"/>
          <w:szCs w:val="18"/>
          <w:lang w:eastAsia="zh-CN"/>
        </w:rPr>
      </w:pPr>
      <w:r>
        <w:rPr>
          <w:rFonts w:cs="Arial"/>
          <w:sz w:val="22"/>
          <w:szCs w:val="18"/>
          <w:lang w:eastAsia="zh-CN"/>
        </w:rPr>
        <w:t xml:space="preserve">If you are new to Better Cotton, depending on your organization category, you may need to become a Better Cotton Member or just apply for a Better Cotton Platform account, find out more on </w:t>
      </w:r>
      <w:hyperlink r:id="rId36" w:history="1">
        <w:r w:rsidRPr="0094078A">
          <w:rPr>
            <w:rStyle w:val="Hyperlink"/>
            <w:rFonts w:cs="Arial"/>
            <w:sz w:val="22"/>
            <w:szCs w:val="18"/>
            <w:lang w:eastAsia="zh-CN"/>
          </w:rPr>
          <w:t>BC Membership page</w:t>
        </w:r>
      </w:hyperlink>
      <w:r>
        <w:rPr>
          <w:rFonts w:cs="Arial"/>
          <w:sz w:val="22"/>
          <w:szCs w:val="18"/>
          <w:lang w:eastAsia="zh-CN"/>
        </w:rPr>
        <w:t xml:space="preserve">.  </w:t>
      </w:r>
    </w:p>
    <w:p w14:paraId="550A9D1B" w14:textId="77777777" w:rsidR="0094078A" w:rsidRDefault="0094078A" w:rsidP="0094078A">
      <w:pPr>
        <w:rPr>
          <w:rFonts w:cs="Arial"/>
          <w:sz w:val="22"/>
          <w:szCs w:val="18"/>
          <w:lang w:eastAsia="zh-CN"/>
        </w:rPr>
      </w:pPr>
    </w:p>
    <w:p w14:paraId="12591BD8" w14:textId="649BB95B" w:rsidR="0094078A" w:rsidRPr="0094078A" w:rsidRDefault="0094078A" w:rsidP="0094078A">
      <w:pPr>
        <w:rPr>
          <w:rFonts w:cs="Arial"/>
          <w:sz w:val="22"/>
          <w:szCs w:val="18"/>
          <w:lang w:eastAsia="zh-CN"/>
        </w:rPr>
      </w:pPr>
      <w:r>
        <w:rPr>
          <w:rFonts w:cs="Arial"/>
          <w:sz w:val="22"/>
          <w:szCs w:val="18"/>
          <w:lang w:eastAsia="zh-CN"/>
        </w:rPr>
        <w:t xml:space="preserve">For more information on Better Cotton Chain of Custody Standard visit the </w:t>
      </w:r>
      <w:hyperlink r:id="rId37" w:history="1">
        <w:r w:rsidRPr="0094078A">
          <w:rPr>
            <w:rStyle w:val="Hyperlink"/>
            <w:rFonts w:cs="Arial"/>
            <w:sz w:val="22"/>
            <w:szCs w:val="18"/>
            <w:lang w:eastAsia="zh-CN"/>
          </w:rPr>
          <w:t>Better Cotton Traceability</w:t>
        </w:r>
      </w:hyperlink>
      <w:r>
        <w:rPr>
          <w:rFonts w:cs="Arial"/>
          <w:sz w:val="22"/>
          <w:szCs w:val="18"/>
          <w:lang w:eastAsia="zh-CN"/>
        </w:rPr>
        <w:t xml:space="preserve"> page. </w:t>
      </w:r>
    </w:p>
    <w:p w14:paraId="30402511" w14:textId="77777777" w:rsidR="00BF45EF" w:rsidRDefault="00BF45EF" w:rsidP="00BF45EF">
      <w:pPr>
        <w:rPr>
          <w:rFonts w:cs="Arial"/>
          <w:sz w:val="22"/>
          <w:szCs w:val="18"/>
          <w:lang w:eastAsia="zh-CN"/>
        </w:rPr>
      </w:pPr>
    </w:p>
    <w:p w14:paraId="0643DC40" w14:textId="77777777" w:rsidR="00AB61F2" w:rsidRDefault="00BF45EF" w:rsidP="00AB61F2">
      <w:pPr>
        <w:rPr>
          <w:rFonts w:cs="Arial"/>
          <w:i/>
          <w:iCs/>
          <w:sz w:val="20"/>
          <w:szCs w:val="16"/>
          <w:lang w:eastAsia="zh-CN"/>
        </w:rPr>
      </w:pPr>
      <w:r w:rsidRPr="0069346C">
        <w:rPr>
          <w:rFonts w:cs="Arial"/>
          <w:i/>
          <w:iCs/>
          <w:sz w:val="20"/>
          <w:szCs w:val="16"/>
          <w:lang w:eastAsia="zh-CN"/>
        </w:rPr>
        <w:t>*All supply chain organizations that are buying or selling physical Better Cotton or fulfilling Better Cotton Mass Balance orders. These include (but are not limited to) middlemen and markets for raw seed cotton, ginners, merchants, lint traders, mills with spinning capabilities, mills or suppliers without spinning capabilities (including fabric mills, dying mills, yarn and/or fabric traders, vertical mills), end-product manufacturers, sourcing agents, and retailers and brands with their own manufacturing capabilities.</w:t>
      </w:r>
    </w:p>
    <w:p w14:paraId="0ABC614A" w14:textId="77777777" w:rsidR="00E31BF6" w:rsidRDefault="00E31BF6" w:rsidP="00AB61F2">
      <w:pPr>
        <w:rPr>
          <w:rFonts w:cs="Arial"/>
          <w:i/>
          <w:iCs/>
          <w:sz w:val="20"/>
          <w:szCs w:val="16"/>
          <w:lang w:eastAsia="zh-CN"/>
        </w:rPr>
      </w:pPr>
    </w:p>
    <w:p w14:paraId="14EBEF9C" w14:textId="376FBEEC" w:rsidR="00713B52" w:rsidRPr="00E31BF6" w:rsidRDefault="00DD151A" w:rsidP="00E31BF6">
      <w:pPr>
        <w:pStyle w:val="Heading2"/>
        <w:numPr>
          <w:ilvl w:val="1"/>
          <w:numId w:val="35"/>
        </w:numPr>
        <w:ind w:left="990" w:hanging="630"/>
      </w:pPr>
      <w:bookmarkStart w:id="8" w:name="_Toc158626680"/>
      <w:r>
        <w:t>Category Risk Level Assignments</w:t>
      </w:r>
      <w:bookmarkEnd w:id="8"/>
    </w:p>
    <w:p w14:paraId="2F49712E" w14:textId="77777777" w:rsidR="009A6819" w:rsidRDefault="009A6819" w:rsidP="00E31BF6">
      <w:pPr>
        <w:ind w:left="360"/>
        <w:rPr>
          <w:rFonts w:cs="Arial"/>
          <w:b/>
          <w:bCs/>
          <w:lang w:eastAsia="zh-CN"/>
        </w:rPr>
      </w:pPr>
    </w:p>
    <w:p w14:paraId="082D84B7" w14:textId="77777777" w:rsidR="00DD151A" w:rsidRDefault="00DD151A" w:rsidP="00A87CE6">
      <w:pPr>
        <w:ind w:left="360"/>
        <w:rPr>
          <w:rFonts w:cs="Arial"/>
          <w:lang w:eastAsia="zh-CN"/>
        </w:rPr>
      </w:pPr>
      <w:r>
        <w:rPr>
          <w:rFonts w:cs="Arial"/>
          <w:lang w:eastAsia="zh-CN"/>
        </w:rPr>
        <w:t xml:space="preserve">The category could be amended at any point based on additional information discovered while an organization is in the Better Cotton program.  The category can also be amended based on demonstrable adherence to the requirements of the CoC Standard and other normative documents. </w:t>
      </w:r>
    </w:p>
    <w:p w14:paraId="55491B99" w14:textId="77777777" w:rsidR="00DD151A" w:rsidRDefault="00DD151A" w:rsidP="00DD151A">
      <w:pPr>
        <w:rPr>
          <w:rFonts w:cs="Arial"/>
          <w:lang w:eastAsia="zh-CN"/>
        </w:rPr>
      </w:pPr>
    </w:p>
    <w:p w14:paraId="70B4A27B" w14:textId="77777777" w:rsidR="00DD151A" w:rsidRPr="00713B52" w:rsidRDefault="00DD151A" w:rsidP="00DD151A">
      <w:pPr>
        <w:pStyle w:val="ListParagraph"/>
        <w:numPr>
          <w:ilvl w:val="0"/>
          <w:numId w:val="25"/>
        </w:numPr>
        <w:rPr>
          <w:rFonts w:cs="Arial"/>
          <w:sz w:val="22"/>
          <w:szCs w:val="18"/>
          <w:lang w:eastAsia="zh-CN"/>
        </w:rPr>
      </w:pPr>
      <w:r w:rsidRPr="00713B52">
        <w:rPr>
          <w:rFonts w:cs="Arial"/>
          <w:b/>
          <w:bCs/>
          <w:sz w:val="22"/>
          <w:szCs w:val="18"/>
          <w:lang w:eastAsia="zh-CN"/>
        </w:rPr>
        <w:t>Category A</w:t>
      </w:r>
      <w:r w:rsidRPr="00713B52">
        <w:rPr>
          <w:rFonts w:cs="Arial"/>
          <w:sz w:val="22"/>
          <w:szCs w:val="18"/>
          <w:lang w:eastAsia="zh-CN"/>
        </w:rPr>
        <w:t xml:space="preserve"> - No initial assessment required before entering the program.  Subject to ongoing monitoring activities.  Assessment required within 3 years.</w:t>
      </w:r>
    </w:p>
    <w:p w14:paraId="5CCA4A15" w14:textId="77777777" w:rsidR="00DD151A" w:rsidRPr="00713B52" w:rsidRDefault="00DD151A" w:rsidP="00DD151A">
      <w:pPr>
        <w:pStyle w:val="ListParagraph"/>
        <w:numPr>
          <w:ilvl w:val="0"/>
          <w:numId w:val="25"/>
        </w:numPr>
        <w:rPr>
          <w:rFonts w:cs="Arial"/>
          <w:sz w:val="22"/>
          <w:szCs w:val="18"/>
          <w:lang w:eastAsia="zh-CN"/>
        </w:rPr>
      </w:pPr>
      <w:r w:rsidRPr="00713B52">
        <w:rPr>
          <w:rFonts w:cs="Arial"/>
          <w:b/>
          <w:bCs/>
          <w:sz w:val="22"/>
          <w:szCs w:val="18"/>
          <w:lang w:eastAsia="zh-CN"/>
        </w:rPr>
        <w:t>Category B</w:t>
      </w:r>
      <w:r w:rsidRPr="00713B52">
        <w:rPr>
          <w:rFonts w:cs="Arial"/>
          <w:sz w:val="22"/>
          <w:szCs w:val="18"/>
          <w:lang w:eastAsia="zh-CN"/>
        </w:rPr>
        <w:t xml:space="preserve"> – A remote or on-site assessment is required within 12 months of entering the program.  For Ginners this will depend on the season and will need to happen during a season.  </w:t>
      </w:r>
    </w:p>
    <w:p w14:paraId="5788FC24" w14:textId="77777777" w:rsidR="00DD151A" w:rsidRDefault="00DD151A" w:rsidP="00DD151A">
      <w:pPr>
        <w:pStyle w:val="ListParagraph"/>
        <w:numPr>
          <w:ilvl w:val="0"/>
          <w:numId w:val="25"/>
        </w:numPr>
        <w:rPr>
          <w:rFonts w:cs="Arial"/>
          <w:sz w:val="22"/>
          <w:szCs w:val="18"/>
          <w:lang w:eastAsia="zh-CN"/>
        </w:rPr>
      </w:pPr>
      <w:r w:rsidRPr="00CE166A">
        <w:rPr>
          <w:rFonts w:cs="Arial"/>
          <w:b/>
          <w:bCs/>
          <w:sz w:val="22"/>
          <w:szCs w:val="18"/>
          <w:lang w:eastAsia="zh-CN"/>
        </w:rPr>
        <w:lastRenderedPageBreak/>
        <w:t>Category C</w:t>
      </w:r>
      <w:r w:rsidRPr="00CE166A">
        <w:rPr>
          <w:rFonts w:cs="Arial"/>
          <w:sz w:val="22"/>
          <w:szCs w:val="18"/>
          <w:lang w:eastAsia="zh-CN"/>
        </w:rPr>
        <w:t xml:space="preserve"> - A physical on-site assessment by an approved Third-Party Verifier (3PV) is required before the site can start trading physically traceable Better Cotton.  An on-site assessment is required every year</w:t>
      </w:r>
      <w:r>
        <w:rPr>
          <w:rFonts w:cs="Arial"/>
          <w:sz w:val="22"/>
          <w:szCs w:val="18"/>
          <w:lang w:eastAsia="zh-CN"/>
        </w:rPr>
        <w:t xml:space="preserve">.  A category can be amended </w:t>
      </w:r>
      <w:proofErr w:type="gramStart"/>
      <w:r>
        <w:rPr>
          <w:rFonts w:cs="Arial"/>
          <w:sz w:val="22"/>
          <w:szCs w:val="18"/>
          <w:lang w:eastAsia="zh-CN"/>
        </w:rPr>
        <w:t>base</w:t>
      </w:r>
      <w:proofErr w:type="gramEnd"/>
      <w:r>
        <w:rPr>
          <w:rFonts w:cs="Arial"/>
          <w:sz w:val="22"/>
          <w:szCs w:val="18"/>
          <w:lang w:eastAsia="zh-CN"/>
        </w:rPr>
        <w:t xml:space="preserve"> on demonstrable adherence to the requirements of the CoC Standard and other normative documents. </w:t>
      </w:r>
    </w:p>
    <w:p w14:paraId="09366D2C" w14:textId="77777777" w:rsidR="00DD151A" w:rsidRDefault="00DD151A" w:rsidP="00713B52">
      <w:pPr>
        <w:rPr>
          <w:rFonts w:cs="Arial"/>
          <w:b/>
          <w:bCs/>
          <w:lang w:eastAsia="zh-CN"/>
        </w:rPr>
      </w:pPr>
    </w:p>
    <w:p w14:paraId="04D591B6" w14:textId="3D3DDC3A" w:rsidR="009A6819" w:rsidRPr="00DD151A" w:rsidRDefault="009A6819" w:rsidP="00A87CE6">
      <w:pPr>
        <w:ind w:left="360"/>
        <w:rPr>
          <w:rFonts w:cs="Arial"/>
          <w:b/>
          <w:bCs/>
          <w:lang w:eastAsia="zh-CN"/>
        </w:rPr>
      </w:pPr>
      <w:r w:rsidRPr="009A6819">
        <w:rPr>
          <w:rFonts w:cs="Arial"/>
          <w:b/>
          <w:bCs/>
          <w:lang w:eastAsia="zh-CN"/>
        </w:rPr>
        <w:t xml:space="preserve">Category A &amp; </w:t>
      </w:r>
      <w:r w:rsidR="00DD151A">
        <w:rPr>
          <w:rFonts w:cs="Arial"/>
          <w:b/>
          <w:bCs/>
          <w:lang w:eastAsia="zh-CN"/>
        </w:rPr>
        <w:t>B</w:t>
      </w:r>
    </w:p>
    <w:p w14:paraId="73DBDA61" w14:textId="77777777" w:rsidR="00DD151A" w:rsidRDefault="00DD151A" w:rsidP="00713B52">
      <w:pPr>
        <w:rPr>
          <w:rFonts w:cs="Arial"/>
          <w:lang w:eastAsia="zh-CN"/>
        </w:rPr>
      </w:pPr>
    </w:p>
    <w:p w14:paraId="2EA736B9" w14:textId="09A69566" w:rsidR="00017302" w:rsidRDefault="009A6819" w:rsidP="00A87CE6">
      <w:pPr>
        <w:ind w:left="720"/>
        <w:rPr>
          <w:rFonts w:cs="Arial"/>
          <w:lang w:eastAsia="zh-CN"/>
        </w:rPr>
      </w:pPr>
      <w:r>
        <w:rPr>
          <w:rFonts w:cs="Arial"/>
          <w:lang w:eastAsia="zh-CN"/>
        </w:rPr>
        <w:t>Organizations in Category A or B will be invited to register on the Better Cotton Platform (BCP) and complete the relevant online BCP training modules</w:t>
      </w:r>
      <w:r w:rsidR="00E71F81">
        <w:rPr>
          <w:rFonts w:cs="Arial"/>
          <w:lang w:eastAsia="zh-CN"/>
        </w:rPr>
        <w:t xml:space="preserve">.  In addition to Category B, a list of approved 3PVs can be found on the BC website to arrange for an </w:t>
      </w:r>
      <w:r>
        <w:rPr>
          <w:rFonts w:cs="Arial"/>
          <w:lang w:eastAsia="zh-CN"/>
        </w:rPr>
        <w:t>assessment</w:t>
      </w:r>
      <w:r w:rsidR="00E71F81">
        <w:rPr>
          <w:rFonts w:cs="Arial"/>
          <w:lang w:eastAsia="zh-CN"/>
        </w:rPr>
        <w:t xml:space="preserve"> within the 12 months in the program.  </w:t>
      </w:r>
      <w:r>
        <w:rPr>
          <w:rFonts w:cs="Arial"/>
          <w:lang w:eastAsia="zh-CN"/>
        </w:rPr>
        <w:t xml:space="preserve">  </w:t>
      </w:r>
    </w:p>
    <w:p w14:paraId="5C0B499B" w14:textId="77777777" w:rsidR="00017302" w:rsidRDefault="00017302" w:rsidP="00713B52">
      <w:pPr>
        <w:rPr>
          <w:rFonts w:cs="Arial"/>
          <w:lang w:eastAsia="zh-CN"/>
        </w:rPr>
      </w:pPr>
    </w:p>
    <w:p w14:paraId="2C20A78F" w14:textId="317BCC76" w:rsidR="009A6819" w:rsidRPr="009A6819" w:rsidRDefault="00403D05" w:rsidP="00A87CE6">
      <w:pPr>
        <w:ind w:left="360"/>
        <w:rPr>
          <w:rFonts w:cs="Arial"/>
          <w:b/>
          <w:bCs/>
          <w:lang w:eastAsia="zh-CN"/>
        </w:rPr>
      </w:pPr>
      <w:r>
        <w:rPr>
          <w:rFonts w:cs="Arial"/>
          <w:b/>
          <w:bCs/>
          <w:lang w:eastAsia="zh-CN"/>
        </w:rPr>
        <w:t>C</w:t>
      </w:r>
      <w:r w:rsidR="009A6819" w:rsidRPr="009A6819">
        <w:rPr>
          <w:rFonts w:cs="Arial"/>
          <w:b/>
          <w:bCs/>
          <w:lang w:eastAsia="zh-CN"/>
        </w:rPr>
        <w:t>ategory C</w:t>
      </w:r>
    </w:p>
    <w:p w14:paraId="78836A89" w14:textId="77777777" w:rsidR="009A6819" w:rsidRDefault="009A6819" w:rsidP="00713B52">
      <w:pPr>
        <w:rPr>
          <w:rFonts w:cs="Arial"/>
          <w:lang w:eastAsia="zh-CN"/>
        </w:rPr>
      </w:pPr>
    </w:p>
    <w:p w14:paraId="3EF70236" w14:textId="3E354763" w:rsidR="009A6819" w:rsidRPr="00713B52" w:rsidRDefault="009A6819" w:rsidP="00A87CE6">
      <w:pPr>
        <w:ind w:left="720"/>
        <w:rPr>
          <w:rFonts w:cs="Arial"/>
          <w:sz w:val="22"/>
          <w:szCs w:val="18"/>
          <w:lang w:eastAsia="zh-CN"/>
        </w:rPr>
      </w:pPr>
      <w:r>
        <w:rPr>
          <w:rFonts w:cs="Arial"/>
          <w:lang w:eastAsia="zh-CN"/>
        </w:rPr>
        <w:t xml:space="preserve">Organizations in Category C shall contact an approved Third-party Verifier (3PV) to arrange an assessment against the Better Cotton Chain of Custody (CoC) Standard v1.0.  A list of approved 3PVs can be found on the BC website.  Upon successful completion of the assessment the organization will be invited to register on the BCP and complete the relevant online BCP training modules.   </w:t>
      </w:r>
    </w:p>
    <w:p w14:paraId="647C03FB" w14:textId="022C154C" w:rsidR="00347871" w:rsidRDefault="00347871" w:rsidP="001F17BB">
      <w:pPr>
        <w:rPr>
          <w:rFonts w:cs="Arial"/>
          <w:b/>
          <w:bCs/>
          <w:color w:val="FF0000"/>
          <w:lang w:eastAsia="zh-CN"/>
        </w:rPr>
      </w:pPr>
    </w:p>
    <w:p w14:paraId="18DD7809" w14:textId="308BD1B0" w:rsidR="00D65747" w:rsidRDefault="00D65747" w:rsidP="00C03C67">
      <w:pPr>
        <w:pStyle w:val="Heading2"/>
        <w:numPr>
          <w:ilvl w:val="1"/>
          <w:numId w:val="35"/>
        </w:numPr>
        <w:ind w:left="990" w:hanging="630"/>
        <w:rPr>
          <w:lang w:eastAsia="zh-CN"/>
        </w:rPr>
      </w:pPr>
      <w:bookmarkStart w:id="9" w:name="_Toc158290635"/>
      <w:bookmarkStart w:id="10" w:name="_Toc158626681"/>
      <w:r>
        <w:rPr>
          <w:lang w:eastAsia="zh-CN"/>
        </w:rPr>
        <w:t xml:space="preserve">Commissioning </w:t>
      </w:r>
      <w:r w:rsidR="00475167">
        <w:rPr>
          <w:lang w:eastAsia="zh-CN"/>
        </w:rPr>
        <w:t>a</w:t>
      </w:r>
      <w:r>
        <w:rPr>
          <w:lang w:eastAsia="zh-CN"/>
        </w:rPr>
        <w:t xml:space="preserve"> </w:t>
      </w:r>
      <w:bookmarkEnd w:id="9"/>
      <w:proofErr w:type="gramStart"/>
      <w:r w:rsidR="002A494B">
        <w:rPr>
          <w:lang w:eastAsia="zh-CN"/>
        </w:rPr>
        <w:t>Third Party</w:t>
      </w:r>
      <w:proofErr w:type="gramEnd"/>
      <w:r w:rsidR="002A494B">
        <w:rPr>
          <w:lang w:eastAsia="zh-CN"/>
        </w:rPr>
        <w:t xml:space="preserve"> Verifier (3PV)</w:t>
      </w:r>
      <w:bookmarkEnd w:id="10"/>
    </w:p>
    <w:p w14:paraId="15FCB440" w14:textId="109B55FA" w:rsidR="00D65747" w:rsidRDefault="00D65747" w:rsidP="00551469">
      <w:pPr>
        <w:ind w:left="990" w:hanging="630"/>
        <w:rPr>
          <w:lang w:eastAsia="zh-CN"/>
        </w:rPr>
      </w:pPr>
      <w:r>
        <w:rPr>
          <w:lang w:eastAsia="zh-CN"/>
        </w:rPr>
        <w:t>2.3.1 Once</w:t>
      </w:r>
      <w:r w:rsidR="00B11F50">
        <w:rPr>
          <w:lang w:eastAsia="zh-CN"/>
        </w:rPr>
        <w:t xml:space="preserve"> BC has approved you into the CoC Standard program and </w:t>
      </w:r>
      <w:r w:rsidR="00475167">
        <w:rPr>
          <w:lang w:eastAsia="zh-CN"/>
        </w:rPr>
        <w:t>has</w:t>
      </w:r>
      <w:r w:rsidR="00B11F50">
        <w:rPr>
          <w:lang w:eastAsia="zh-CN"/>
        </w:rPr>
        <w:t xml:space="preserve"> issued you a Risk Category you can now </w:t>
      </w:r>
      <w:r>
        <w:rPr>
          <w:lang w:eastAsia="zh-CN"/>
        </w:rPr>
        <w:t xml:space="preserve">commission an Independent </w:t>
      </w:r>
      <w:r w:rsidR="00B11F50">
        <w:rPr>
          <w:lang w:eastAsia="zh-CN"/>
        </w:rPr>
        <w:t>3PV</w:t>
      </w:r>
      <w:r w:rsidR="00551469">
        <w:rPr>
          <w:lang w:eastAsia="zh-CN"/>
        </w:rPr>
        <w:t xml:space="preserve"> for your CoC Assessment. </w:t>
      </w:r>
      <w:r>
        <w:rPr>
          <w:lang w:eastAsia="zh-CN"/>
        </w:rPr>
        <w:t xml:space="preserve"> </w:t>
      </w:r>
    </w:p>
    <w:p w14:paraId="1A9BAFA1" w14:textId="77777777" w:rsidR="00D65747" w:rsidRDefault="00D65747" w:rsidP="00D65747">
      <w:pPr>
        <w:rPr>
          <w:lang w:eastAsia="zh-CN"/>
        </w:rPr>
      </w:pPr>
    </w:p>
    <w:p w14:paraId="2C78EEEB" w14:textId="595BBB44" w:rsidR="00D65747" w:rsidRPr="00D65747" w:rsidRDefault="00D65747" w:rsidP="00A87CE6">
      <w:pPr>
        <w:ind w:left="990" w:hanging="630"/>
        <w:rPr>
          <w:lang w:eastAsia="zh-CN"/>
        </w:rPr>
      </w:pPr>
      <w:r>
        <w:rPr>
          <w:lang w:eastAsia="zh-CN"/>
        </w:rPr>
        <w:t xml:space="preserve">2.3.2 </w:t>
      </w:r>
      <w:r w:rsidRPr="00EF5B48">
        <w:rPr>
          <w:lang w:eastAsia="zh-CN"/>
        </w:rPr>
        <w:t>The accompanying Independent Assessment</w:t>
      </w:r>
      <w:r w:rsidR="00192FD9">
        <w:rPr>
          <w:lang w:eastAsia="zh-CN"/>
        </w:rPr>
        <w:t xml:space="preserve"> for the CoC </w:t>
      </w:r>
      <w:r w:rsidRPr="00EF5B48">
        <w:rPr>
          <w:lang w:eastAsia="zh-CN"/>
        </w:rPr>
        <w:t xml:space="preserve">frequency requirement is based on the </w:t>
      </w:r>
      <w:r w:rsidR="00192FD9">
        <w:rPr>
          <w:lang w:eastAsia="zh-CN"/>
        </w:rPr>
        <w:t xml:space="preserve">Risk Category you have been assigned.  Please refer to </w:t>
      </w:r>
      <w:r w:rsidR="00E80475" w:rsidRPr="00452E98">
        <w:rPr>
          <w:lang w:eastAsia="zh-CN"/>
        </w:rPr>
        <w:t xml:space="preserve">Section </w:t>
      </w:r>
      <w:r w:rsidR="00452E98" w:rsidRPr="00452E98">
        <w:rPr>
          <w:lang w:eastAsia="zh-CN"/>
        </w:rPr>
        <w:t>3.8</w:t>
      </w:r>
      <w:r w:rsidR="00E80475" w:rsidRPr="00452E98">
        <w:rPr>
          <w:lang w:eastAsia="zh-CN"/>
        </w:rPr>
        <w:t>.</w:t>
      </w:r>
    </w:p>
    <w:p w14:paraId="3BADD804" w14:textId="64213B7E" w:rsidR="002361F1" w:rsidRDefault="00347871" w:rsidP="00E31BF6">
      <w:pPr>
        <w:pStyle w:val="Heading1"/>
        <w:numPr>
          <w:ilvl w:val="0"/>
          <w:numId w:val="35"/>
        </w:numPr>
        <w:rPr>
          <w:lang w:eastAsia="zh-CN"/>
        </w:rPr>
      </w:pPr>
      <w:bookmarkStart w:id="11" w:name="_Toc158626682"/>
      <w:r>
        <w:rPr>
          <w:lang w:eastAsia="zh-CN"/>
        </w:rPr>
        <w:t xml:space="preserve">IDFL </w:t>
      </w:r>
      <w:r w:rsidR="001F17BB" w:rsidRPr="00973D10">
        <w:rPr>
          <w:lang w:eastAsia="zh-CN"/>
        </w:rPr>
        <w:t>Application</w:t>
      </w:r>
      <w:bookmarkEnd w:id="11"/>
    </w:p>
    <w:p w14:paraId="0802A932" w14:textId="77777777" w:rsidR="00773715" w:rsidRDefault="00773715" w:rsidP="001F17BB">
      <w:pPr>
        <w:pStyle w:val="Heading2"/>
        <w:numPr>
          <w:ilvl w:val="1"/>
          <w:numId w:val="35"/>
        </w:numPr>
        <w:ind w:left="990" w:hanging="630"/>
      </w:pPr>
      <w:bookmarkStart w:id="12" w:name="_Toc158626683"/>
      <w:r>
        <w:t>IDFL Services</w:t>
      </w:r>
      <w:bookmarkEnd w:id="12"/>
    </w:p>
    <w:p w14:paraId="356B27C2" w14:textId="77777777" w:rsidR="00607888" w:rsidRDefault="00607888" w:rsidP="00607888">
      <w:pPr>
        <w:rPr>
          <w:lang w:eastAsia="zh-CN"/>
        </w:rPr>
      </w:pPr>
    </w:p>
    <w:p w14:paraId="5F312FA6" w14:textId="35DB341E" w:rsidR="00347871" w:rsidRPr="00773715" w:rsidRDefault="00D71E24" w:rsidP="00E80475">
      <w:pPr>
        <w:ind w:left="990"/>
        <w:rPr>
          <w:rFonts w:cstheme="majorBidi"/>
        </w:rPr>
      </w:pPr>
      <w:r w:rsidRPr="00773715">
        <w:rPr>
          <w:lang w:eastAsia="zh-CN"/>
        </w:rPr>
        <w:t xml:space="preserve">Information regarding the standards and applications can be found on our website – </w:t>
      </w:r>
      <w:hyperlink r:id="rId38" w:history="1">
        <w:r>
          <w:rPr>
            <w:rStyle w:val="Hyperlink"/>
          </w:rPr>
          <w:t>www.idfl.com/services/audits-certifications/</w:t>
        </w:r>
      </w:hyperlink>
      <w:r>
        <w:t xml:space="preserve"> </w:t>
      </w:r>
      <w:r w:rsidRPr="00773715">
        <w:rPr>
          <w:lang w:eastAsia="zh-CN"/>
        </w:rPr>
        <w:t xml:space="preserve">or by email request. For any questions or assistance with the application, please contact </w:t>
      </w:r>
      <w:r w:rsidR="00347871" w:rsidRPr="00773715">
        <w:rPr>
          <w:lang w:eastAsia="zh-CN"/>
        </w:rPr>
        <w:t xml:space="preserve">us.  </w:t>
      </w:r>
    </w:p>
    <w:p w14:paraId="2FAB3681" w14:textId="77777777" w:rsidR="00347871" w:rsidRDefault="00347871" w:rsidP="001F17BB">
      <w:pPr>
        <w:rPr>
          <w:rFonts w:cs="Arial"/>
          <w:lang w:eastAsia="zh-CN"/>
        </w:rPr>
      </w:pPr>
    </w:p>
    <w:p w14:paraId="4001253C" w14:textId="7521092A" w:rsidR="001904FA" w:rsidRDefault="00347871" w:rsidP="00E80475">
      <w:pPr>
        <w:ind w:left="990"/>
        <w:rPr>
          <w:rFonts w:cs="Arial"/>
          <w:b/>
          <w:bCs/>
          <w:lang w:eastAsia="zh-CN"/>
        </w:rPr>
      </w:pPr>
      <w:r w:rsidRPr="00C53AE0">
        <w:rPr>
          <w:rFonts w:cs="Arial"/>
          <w:lang w:eastAsia="zh-CN"/>
        </w:rPr>
        <w:t>For contact information see our website:</w:t>
      </w:r>
      <w:r>
        <w:rPr>
          <w:rFonts w:cs="Arial"/>
          <w:color w:val="FF0000"/>
          <w:lang w:eastAsia="zh-CN"/>
        </w:rPr>
        <w:t xml:space="preserve"> </w:t>
      </w:r>
      <w:hyperlink r:id="rId39" w:history="1">
        <w:r w:rsidRPr="00347871">
          <w:rPr>
            <w:rStyle w:val="Hyperlink"/>
            <w:rFonts w:cs="Arial"/>
            <w:lang w:eastAsia="zh-CN"/>
          </w:rPr>
          <w:t>https://idfl.com/directory</w:t>
        </w:r>
      </w:hyperlink>
      <w:r w:rsidR="00E80475">
        <w:rPr>
          <w:rStyle w:val="Hyperlink"/>
          <w:rFonts w:cs="Arial"/>
          <w:lang w:eastAsia="zh-CN"/>
        </w:rPr>
        <w:br/>
      </w:r>
    </w:p>
    <w:p w14:paraId="3D4FA2EB" w14:textId="7551FB81" w:rsidR="008E5856" w:rsidRDefault="001F17BB" w:rsidP="00BD3675">
      <w:pPr>
        <w:pStyle w:val="Heading2"/>
        <w:numPr>
          <w:ilvl w:val="1"/>
          <w:numId w:val="35"/>
        </w:numPr>
        <w:ind w:left="990" w:hanging="630"/>
        <w:rPr>
          <w:lang w:eastAsia="zh-CN"/>
        </w:rPr>
      </w:pPr>
      <w:bookmarkStart w:id="13" w:name="_Toc158626684"/>
      <w:r w:rsidRPr="00973D10">
        <w:rPr>
          <w:lang w:eastAsia="zh-CN"/>
        </w:rPr>
        <w:t>Application Review</w:t>
      </w:r>
      <w:bookmarkEnd w:id="13"/>
    </w:p>
    <w:p w14:paraId="0F0A6E96" w14:textId="77777777" w:rsidR="00B93542" w:rsidRPr="00973D10" w:rsidRDefault="00B93542" w:rsidP="001F17BB">
      <w:pPr>
        <w:rPr>
          <w:rFonts w:cs="Arial"/>
          <w:b/>
          <w:bCs/>
          <w:lang w:eastAsia="zh-CN"/>
        </w:rPr>
      </w:pPr>
    </w:p>
    <w:p w14:paraId="6B031ED9" w14:textId="03B24F2B" w:rsidR="008E5856" w:rsidRDefault="008E5856" w:rsidP="00E80475">
      <w:pPr>
        <w:ind w:left="990"/>
        <w:rPr>
          <w:rFonts w:cs="Arial"/>
          <w:lang w:eastAsia="zh-CN"/>
        </w:rPr>
      </w:pPr>
      <w:r w:rsidRPr="008E5856">
        <w:rPr>
          <w:rFonts w:cs="Arial"/>
          <w:lang w:eastAsia="zh-CN"/>
        </w:rPr>
        <w:t>Upon receipt of the completed application, IDFL will review and contact you if further information is necessary. A conference call or in-person meeting may be necessary to confirm all application requirements</w:t>
      </w:r>
      <w:r>
        <w:rPr>
          <w:rFonts w:cs="Arial"/>
          <w:lang w:eastAsia="zh-CN"/>
        </w:rPr>
        <w:t>.</w:t>
      </w:r>
    </w:p>
    <w:p w14:paraId="5E9B9ED7" w14:textId="77777777" w:rsidR="00E80475" w:rsidRDefault="00E80475" w:rsidP="00E80475">
      <w:pPr>
        <w:ind w:left="990"/>
        <w:rPr>
          <w:rFonts w:cs="Arial"/>
          <w:lang w:eastAsia="zh-CN"/>
        </w:rPr>
      </w:pPr>
    </w:p>
    <w:p w14:paraId="18CC65A9" w14:textId="009C9C59" w:rsidR="00B249D6" w:rsidRDefault="001336C1" w:rsidP="00BD3675">
      <w:pPr>
        <w:pStyle w:val="Heading2"/>
        <w:numPr>
          <w:ilvl w:val="1"/>
          <w:numId w:val="35"/>
        </w:numPr>
        <w:ind w:left="990" w:hanging="630"/>
        <w:rPr>
          <w:lang w:eastAsia="zh-CN"/>
        </w:rPr>
      </w:pPr>
      <w:bookmarkStart w:id="14" w:name="_Toc158626685"/>
      <w:r w:rsidRPr="00973D10">
        <w:rPr>
          <w:lang w:eastAsia="zh-CN"/>
        </w:rPr>
        <w:t>Agreement / Quotation</w:t>
      </w:r>
      <w:bookmarkEnd w:id="14"/>
    </w:p>
    <w:p w14:paraId="471B8F97" w14:textId="77777777" w:rsidR="00B93542" w:rsidRPr="00973D10" w:rsidRDefault="00B93542" w:rsidP="001F17BB">
      <w:pPr>
        <w:rPr>
          <w:rFonts w:cs="Arial"/>
          <w:b/>
          <w:bCs/>
          <w:lang w:eastAsia="zh-CN"/>
        </w:rPr>
      </w:pPr>
    </w:p>
    <w:p w14:paraId="5A24D2B2" w14:textId="74E417BC" w:rsidR="00B249D6" w:rsidRDefault="00A22D6B" w:rsidP="00E80475">
      <w:pPr>
        <w:ind w:left="990"/>
        <w:rPr>
          <w:rFonts w:cs="Arial"/>
          <w:lang w:eastAsia="zh-CN"/>
        </w:rPr>
      </w:pPr>
      <w:r>
        <w:rPr>
          <w:rFonts w:cs="Arial"/>
          <w:lang w:eastAsia="zh-CN"/>
        </w:rPr>
        <w:t>Once all questions and concerns have been addressed and the scope of the certification confirmed, IDFL will issue an agreement and quotation for the certification services. The client is expected to review and formally sign the agreement before the evaluation may commence.</w:t>
      </w:r>
    </w:p>
    <w:p w14:paraId="1B9DE45B" w14:textId="77777777" w:rsidR="00BD3675" w:rsidRDefault="00BD3675" w:rsidP="001F17BB">
      <w:pPr>
        <w:rPr>
          <w:rFonts w:cs="Arial"/>
          <w:lang w:eastAsia="zh-CN"/>
        </w:rPr>
      </w:pPr>
    </w:p>
    <w:p w14:paraId="1B1AB912" w14:textId="1E116008" w:rsidR="00B249D6" w:rsidRDefault="001336C1" w:rsidP="00BD3675">
      <w:pPr>
        <w:pStyle w:val="Heading2"/>
        <w:numPr>
          <w:ilvl w:val="1"/>
          <w:numId w:val="35"/>
        </w:numPr>
        <w:ind w:left="990" w:hanging="630"/>
        <w:rPr>
          <w:lang w:eastAsia="zh-CN"/>
        </w:rPr>
      </w:pPr>
      <w:bookmarkStart w:id="15" w:name="_Toc158626686"/>
      <w:r w:rsidRPr="00637452">
        <w:rPr>
          <w:lang w:eastAsia="zh-CN"/>
        </w:rPr>
        <w:lastRenderedPageBreak/>
        <w:t>Pre-A</w:t>
      </w:r>
      <w:r w:rsidR="004973D5">
        <w:rPr>
          <w:lang w:eastAsia="zh-CN"/>
        </w:rPr>
        <w:t>ssessment</w:t>
      </w:r>
      <w:r w:rsidRPr="00637452">
        <w:rPr>
          <w:lang w:eastAsia="zh-CN"/>
        </w:rPr>
        <w:t xml:space="preserve"> Documentation</w:t>
      </w:r>
      <w:bookmarkEnd w:id="15"/>
    </w:p>
    <w:p w14:paraId="1809E699" w14:textId="77777777" w:rsidR="00B93542" w:rsidRPr="00637452" w:rsidRDefault="00B93542" w:rsidP="001F17BB">
      <w:pPr>
        <w:rPr>
          <w:rFonts w:cs="Arial"/>
          <w:b/>
          <w:bCs/>
          <w:lang w:eastAsia="zh-CN"/>
        </w:rPr>
      </w:pPr>
    </w:p>
    <w:p w14:paraId="217DC79B" w14:textId="0E575590" w:rsidR="00B249D6" w:rsidRDefault="00B249D6" w:rsidP="00E80475">
      <w:pPr>
        <w:ind w:left="990"/>
        <w:rPr>
          <w:rFonts w:cs="Arial"/>
          <w:lang w:eastAsia="zh-CN"/>
        </w:rPr>
      </w:pPr>
      <w:r>
        <w:rPr>
          <w:rFonts w:cs="Arial"/>
          <w:lang w:eastAsia="zh-CN"/>
        </w:rPr>
        <w:t>After the agreement has been signed and payment has been received, the next step is to begin the pre-a</w:t>
      </w:r>
      <w:r w:rsidR="004973D5">
        <w:rPr>
          <w:rFonts w:cs="Arial"/>
          <w:lang w:eastAsia="zh-CN"/>
        </w:rPr>
        <w:t>ssessment</w:t>
      </w:r>
      <w:r>
        <w:rPr>
          <w:rFonts w:cs="Arial"/>
          <w:lang w:eastAsia="zh-CN"/>
        </w:rPr>
        <w:t xml:space="preserve"> documentation preparation. </w:t>
      </w:r>
      <w:r w:rsidRPr="003A4E40">
        <w:rPr>
          <w:rFonts w:cs="Arial"/>
          <w:lang w:eastAsia="zh-CN"/>
        </w:rPr>
        <w:t xml:space="preserve">A document checklist and system plan will be provided to you. For some standards, IDFL may </w:t>
      </w:r>
      <w:r>
        <w:rPr>
          <w:rFonts w:cs="Arial"/>
          <w:lang w:eastAsia="zh-CN"/>
        </w:rPr>
        <w:t xml:space="preserve">set up an IDFL Online </w:t>
      </w:r>
      <w:r w:rsidR="004B0834">
        <w:rPr>
          <w:rFonts w:cs="Arial"/>
          <w:lang w:eastAsia="zh-CN"/>
        </w:rPr>
        <w:t xml:space="preserve">Client Portal </w:t>
      </w:r>
      <w:r>
        <w:rPr>
          <w:rFonts w:cs="Arial"/>
          <w:lang w:eastAsia="zh-CN"/>
        </w:rPr>
        <w:t xml:space="preserve">Account where you can upload, fill in, and submit online. </w:t>
      </w:r>
    </w:p>
    <w:p w14:paraId="2DDA5830" w14:textId="2C75EB27" w:rsidR="00B249D6" w:rsidRDefault="00B249D6" w:rsidP="00B249D6">
      <w:pPr>
        <w:rPr>
          <w:rFonts w:cs="Arial"/>
          <w:lang w:eastAsia="zh-CN"/>
        </w:rPr>
      </w:pPr>
    </w:p>
    <w:p w14:paraId="42CAF61C" w14:textId="10A84D46" w:rsidR="00B249D6" w:rsidRDefault="00B249D6" w:rsidP="00E80475">
      <w:pPr>
        <w:ind w:left="990"/>
        <w:rPr>
          <w:rFonts w:cs="Arial"/>
          <w:lang w:eastAsia="zh-CN"/>
        </w:rPr>
      </w:pPr>
      <w:r>
        <w:rPr>
          <w:rFonts w:cs="Arial"/>
          <w:lang w:eastAsia="zh-CN"/>
        </w:rPr>
        <w:t xml:space="preserve">The documentation checklist is provided to you below for your reference – see </w:t>
      </w:r>
      <w:r w:rsidR="00F751C8">
        <w:rPr>
          <w:rFonts w:cs="Arial"/>
          <w:lang w:eastAsia="zh-CN"/>
        </w:rPr>
        <w:t>S</w:t>
      </w:r>
      <w:r>
        <w:rPr>
          <w:rFonts w:cs="Arial"/>
          <w:lang w:eastAsia="zh-CN"/>
        </w:rPr>
        <w:t>ection B. Please note tha</w:t>
      </w:r>
      <w:r w:rsidR="00F751C8">
        <w:rPr>
          <w:rFonts w:cs="Arial"/>
          <w:lang w:eastAsia="zh-CN"/>
        </w:rPr>
        <w:t xml:space="preserve">t the online checklist may have some minor differences. </w:t>
      </w:r>
    </w:p>
    <w:p w14:paraId="502AC5F0" w14:textId="77777777" w:rsidR="00973D10" w:rsidRDefault="00973D10" w:rsidP="00B249D6">
      <w:pPr>
        <w:rPr>
          <w:rFonts w:cs="Arial"/>
          <w:lang w:eastAsia="zh-CN"/>
        </w:rPr>
      </w:pPr>
    </w:p>
    <w:p w14:paraId="2E66CB6D" w14:textId="2BFC751C" w:rsidR="00F751C8" w:rsidRDefault="001336C1" w:rsidP="006C23D2">
      <w:pPr>
        <w:pStyle w:val="Heading2"/>
        <w:numPr>
          <w:ilvl w:val="1"/>
          <w:numId w:val="35"/>
        </w:numPr>
        <w:ind w:left="990" w:hanging="630"/>
        <w:rPr>
          <w:lang w:eastAsia="zh-CN"/>
        </w:rPr>
      </w:pPr>
      <w:bookmarkStart w:id="16" w:name="_Toc158626687"/>
      <w:r w:rsidRPr="00637452">
        <w:rPr>
          <w:lang w:eastAsia="zh-CN"/>
        </w:rPr>
        <w:t xml:space="preserve">Onsite </w:t>
      </w:r>
      <w:r w:rsidR="004973D5">
        <w:rPr>
          <w:lang w:eastAsia="zh-CN"/>
        </w:rPr>
        <w:t>Assessment</w:t>
      </w:r>
      <w:bookmarkEnd w:id="16"/>
    </w:p>
    <w:p w14:paraId="0D4B7827" w14:textId="77777777" w:rsidR="00B93542" w:rsidRPr="00637452" w:rsidRDefault="00B93542" w:rsidP="001F17BB">
      <w:pPr>
        <w:rPr>
          <w:rFonts w:cs="Arial"/>
          <w:b/>
          <w:bCs/>
          <w:lang w:eastAsia="zh-CN"/>
        </w:rPr>
      </w:pPr>
    </w:p>
    <w:p w14:paraId="3F75670D" w14:textId="31648D1A" w:rsidR="00F751C8" w:rsidRPr="00637452" w:rsidRDefault="00F751C8" w:rsidP="006C23D2">
      <w:pPr>
        <w:ind w:left="990"/>
        <w:rPr>
          <w:rFonts w:cs="Arial"/>
          <w:lang w:eastAsia="zh-CN"/>
        </w:rPr>
      </w:pPr>
      <w:r>
        <w:rPr>
          <w:rFonts w:cs="Arial"/>
          <w:lang w:eastAsia="zh-CN"/>
        </w:rPr>
        <w:t>After the pre-</w:t>
      </w:r>
      <w:r w:rsidR="004973D5">
        <w:rPr>
          <w:rFonts w:cs="Arial"/>
          <w:lang w:eastAsia="zh-CN"/>
        </w:rPr>
        <w:t>assessment</w:t>
      </w:r>
      <w:r>
        <w:rPr>
          <w:rFonts w:cs="Arial"/>
          <w:lang w:eastAsia="zh-CN"/>
        </w:rPr>
        <w:t xml:space="preserve"> documents have been submitted and reviewed, IDFL can begin to schedule a date and time for an onsite </w:t>
      </w:r>
      <w:r w:rsidR="004973D5">
        <w:rPr>
          <w:rFonts w:cs="Arial"/>
          <w:lang w:eastAsia="zh-CN"/>
        </w:rPr>
        <w:t>assessment</w:t>
      </w:r>
      <w:r>
        <w:rPr>
          <w:rFonts w:cs="Arial"/>
          <w:lang w:eastAsia="zh-CN"/>
        </w:rPr>
        <w:t xml:space="preserve">. </w:t>
      </w:r>
      <w:r w:rsidR="004973D5">
        <w:rPr>
          <w:rFonts w:cs="Arial"/>
          <w:lang w:eastAsia="zh-CN"/>
        </w:rPr>
        <w:t>To</w:t>
      </w:r>
      <w:r>
        <w:rPr>
          <w:rFonts w:cs="Arial"/>
          <w:lang w:eastAsia="zh-CN"/>
        </w:rPr>
        <w:t xml:space="preserve"> prepare for the onsite </w:t>
      </w:r>
      <w:r w:rsidR="004973D5">
        <w:rPr>
          <w:rFonts w:cs="Arial"/>
          <w:lang w:eastAsia="zh-CN"/>
        </w:rPr>
        <w:t>assessment</w:t>
      </w:r>
      <w:r>
        <w:rPr>
          <w:rFonts w:cs="Arial"/>
          <w:lang w:eastAsia="zh-CN"/>
        </w:rPr>
        <w:t xml:space="preserve">, see Section C. </w:t>
      </w:r>
    </w:p>
    <w:p w14:paraId="267FE1FF" w14:textId="77777777" w:rsidR="00637452" w:rsidRPr="000A0805" w:rsidRDefault="00637452" w:rsidP="001F17BB">
      <w:pPr>
        <w:rPr>
          <w:rFonts w:cs="Arial"/>
          <w:b/>
          <w:bCs/>
          <w:lang w:eastAsia="zh-CN"/>
        </w:rPr>
      </w:pPr>
    </w:p>
    <w:p w14:paraId="0CAB1D4E" w14:textId="77777777" w:rsidR="006C23D2" w:rsidRDefault="003D71FA" w:rsidP="006C23D2">
      <w:pPr>
        <w:pStyle w:val="Heading2"/>
        <w:numPr>
          <w:ilvl w:val="1"/>
          <w:numId w:val="35"/>
        </w:numPr>
        <w:ind w:left="990" w:hanging="612"/>
        <w:rPr>
          <w:lang w:eastAsia="zh-CN"/>
        </w:rPr>
      </w:pPr>
      <w:bookmarkStart w:id="17" w:name="_Toc158626688"/>
      <w:r w:rsidRPr="00637452">
        <w:rPr>
          <w:lang w:eastAsia="zh-CN"/>
        </w:rPr>
        <w:t>Corrective Actions</w:t>
      </w:r>
      <w:bookmarkEnd w:id="17"/>
    </w:p>
    <w:p w14:paraId="6ECAF74E" w14:textId="77777777" w:rsidR="006C23D2" w:rsidRDefault="006C23D2" w:rsidP="006C23D2">
      <w:pPr>
        <w:rPr>
          <w:lang w:eastAsia="zh-CN"/>
        </w:rPr>
      </w:pPr>
    </w:p>
    <w:p w14:paraId="1DDE71CF" w14:textId="2C41AE5D" w:rsidR="00FC5FB9" w:rsidRPr="006C23D2" w:rsidRDefault="00FC5FB9" w:rsidP="006C23D2">
      <w:pPr>
        <w:ind w:left="990"/>
        <w:rPr>
          <w:lang w:eastAsia="zh-CN"/>
        </w:rPr>
      </w:pPr>
      <w:r>
        <w:rPr>
          <w:lang w:eastAsia="zh-CN"/>
        </w:rPr>
        <w:t xml:space="preserve">During the closing meeting of the onsite </w:t>
      </w:r>
      <w:r w:rsidR="004973D5">
        <w:rPr>
          <w:lang w:eastAsia="zh-CN"/>
        </w:rPr>
        <w:t>assessments or monitoring activities</w:t>
      </w:r>
      <w:r>
        <w:rPr>
          <w:lang w:eastAsia="zh-CN"/>
        </w:rPr>
        <w:t xml:space="preserve">, the </w:t>
      </w:r>
      <w:r w:rsidRPr="006C23D2">
        <w:t>a</w:t>
      </w:r>
      <w:r w:rsidR="004973D5" w:rsidRPr="006C23D2">
        <w:t>ssessor</w:t>
      </w:r>
      <w:r w:rsidRPr="006C23D2">
        <w:t xml:space="preserve"> will provide</w:t>
      </w:r>
      <w:r w:rsidR="00DD7B0A" w:rsidRPr="006C23D2">
        <w:t xml:space="preserve"> feedback and discuss any non-compliances (if any). For any non-compliance, a non-compliance report</w:t>
      </w:r>
      <w:r w:rsidRPr="006C23D2">
        <w:t xml:space="preserve"> (</w:t>
      </w:r>
      <w:r w:rsidR="00DD7B0A" w:rsidRPr="006C23D2">
        <w:t>NCR</w:t>
      </w:r>
      <w:r w:rsidRPr="006C23D2">
        <w:t xml:space="preserve">) will be </w:t>
      </w:r>
      <w:r w:rsidR="00DD7B0A" w:rsidRPr="006C23D2">
        <w:t>issued to the organization</w:t>
      </w:r>
      <w:r w:rsidRPr="006C23D2">
        <w:t>.</w:t>
      </w:r>
      <w:r w:rsidR="00DD7B0A" w:rsidRPr="006C23D2">
        <w:t xml:space="preserve"> </w:t>
      </w:r>
      <w:r w:rsidR="004973D5" w:rsidRPr="006C23D2">
        <w:t xml:space="preserve">Corrective Action Plan (CAP) </w:t>
      </w:r>
      <w:r w:rsidR="003B31F9" w:rsidRPr="006C23D2">
        <w:t>must be submitted</w:t>
      </w:r>
      <w:r w:rsidR="004B0834" w:rsidRPr="006C23D2">
        <w:t xml:space="preserve"> (via IDFL Client Portal Account)</w:t>
      </w:r>
      <w:r w:rsidR="003B31F9" w:rsidRPr="006C23D2">
        <w:t xml:space="preserve"> by the organization within 10 working days after receipt of the final assessment reports.  </w:t>
      </w:r>
      <w:r w:rsidR="00DD7B0A" w:rsidRPr="006C23D2">
        <w:t>Corrective actions must be implemented within the</w:t>
      </w:r>
      <w:r w:rsidR="003B31F9" w:rsidRPr="006C23D2">
        <w:t xml:space="preserve"> specified timeframe below.  If the organization fails to submit their CAP within the timeline, Better Cotton will temporarily suspend their BCP account until it provides a valid reason for delay or submits the CAP.  </w:t>
      </w:r>
      <w:r w:rsidR="00153B96" w:rsidRPr="006C23D2">
        <w:t xml:space="preserve">Corrective actions should be </w:t>
      </w:r>
      <w:r w:rsidR="004B0834" w:rsidRPr="006C23D2">
        <w:t xml:space="preserve">submitted via IDFL Client Portal.  </w:t>
      </w:r>
      <w:r w:rsidR="00637452" w:rsidRPr="006C23D2">
        <w:t>Necessary corrective action plans will need to be in place before certification can be approved.</w:t>
      </w:r>
    </w:p>
    <w:p w14:paraId="4B818C79" w14:textId="77777777" w:rsidR="003B31F9" w:rsidRDefault="003B31F9" w:rsidP="001F17BB">
      <w:pPr>
        <w:rPr>
          <w:rFonts w:cs="Arial"/>
          <w:lang w:eastAsia="zh-CN"/>
        </w:rPr>
      </w:pPr>
    </w:p>
    <w:p w14:paraId="562DB5B1" w14:textId="3625264F" w:rsidR="006C23D2" w:rsidRDefault="003B31F9" w:rsidP="006C23D2">
      <w:pPr>
        <w:ind w:left="990"/>
        <w:rPr>
          <w:rFonts w:cs="Arial"/>
          <w:lang w:eastAsia="zh-CN"/>
        </w:rPr>
      </w:pPr>
      <w:r>
        <w:rPr>
          <w:rFonts w:cs="Arial"/>
          <w:lang w:eastAsia="zh-CN"/>
        </w:rPr>
        <w:t>The CAP shall include a description of:</w:t>
      </w:r>
    </w:p>
    <w:p w14:paraId="2B661B7E" w14:textId="3DC80A29" w:rsidR="003B31F9" w:rsidRDefault="003B31F9" w:rsidP="006C23D2">
      <w:pPr>
        <w:pStyle w:val="ListParagraph"/>
        <w:numPr>
          <w:ilvl w:val="0"/>
          <w:numId w:val="21"/>
        </w:numPr>
        <w:ind w:left="1350"/>
        <w:rPr>
          <w:rFonts w:cs="Arial"/>
          <w:lang w:eastAsia="zh-CN"/>
        </w:rPr>
      </w:pPr>
      <w:r>
        <w:rPr>
          <w:rFonts w:cs="Arial"/>
          <w:lang w:eastAsia="zh-CN"/>
        </w:rPr>
        <w:t xml:space="preserve">The root cause of the non-conformity. </w:t>
      </w:r>
    </w:p>
    <w:p w14:paraId="19A6317A" w14:textId="21107571" w:rsidR="003B31F9" w:rsidRDefault="003B31F9" w:rsidP="006C23D2">
      <w:pPr>
        <w:pStyle w:val="ListParagraph"/>
        <w:numPr>
          <w:ilvl w:val="0"/>
          <w:numId w:val="21"/>
        </w:numPr>
        <w:ind w:left="1350"/>
        <w:rPr>
          <w:rFonts w:cs="Arial"/>
          <w:lang w:eastAsia="zh-CN"/>
        </w:rPr>
      </w:pPr>
      <w:r>
        <w:rPr>
          <w:rFonts w:cs="Arial"/>
          <w:lang w:eastAsia="zh-CN"/>
        </w:rPr>
        <w:t xml:space="preserve">The corrective actions intended to correct the non-conformity. </w:t>
      </w:r>
    </w:p>
    <w:p w14:paraId="7EB25209" w14:textId="4AA39881" w:rsidR="003B31F9" w:rsidRDefault="003B31F9" w:rsidP="006C23D2">
      <w:pPr>
        <w:pStyle w:val="ListParagraph"/>
        <w:numPr>
          <w:ilvl w:val="0"/>
          <w:numId w:val="21"/>
        </w:numPr>
        <w:ind w:left="1350"/>
        <w:rPr>
          <w:rFonts w:cs="Arial"/>
          <w:lang w:eastAsia="zh-CN"/>
        </w:rPr>
      </w:pPr>
      <w:r>
        <w:rPr>
          <w:rFonts w:cs="Arial"/>
          <w:lang w:eastAsia="zh-CN"/>
        </w:rPr>
        <w:t>An appropriate timeframe to implement corrective action (within the timeframes outlined below).</w:t>
      </w:r>
    </w:p>
    <w:p w14:paraId="06DDF2FD" w14:textId="4819DFB4" w:rsidR="003B31F9" w:rsidRDefault="003B31F9" w:rsidP="003B31F9">
      <w:pPr>
        <w:rPr>
          <w:rFonts w:cs="Arial"/>
          <w:lang w:eastAsia="zh-CN"/>
        </w:rPr>
      </w:pPr>
    </w:p>
    <w:p w14:paraId="6A1E6229" w14:textId="4162F216" w:rsidR="003B31F9" w:rsidRDefault="003B31F9" w:rsidP="0022245E">
      <w:pPr>
        <w:ind w:left="990"/>
        <w:rPr>
          <w:rFonts w:cs="Arial"/>
          <w:b/>
          <w:bCs/>
          <w:lang w:eastAsia="zh-CN"/>
        </w:rPr>
      </w:pPr>
      <w:r w:rsidRPr="003B31F9">
        <w:rPr>
          <w:rFonts w:cs="Arial"/>
          <w:b/>
          <w:bCs/>
          <w:lang w:eastAsia="zh-CN"/>
        </w:rPr>
        <w:t>Minor NCs</w:t>
      </w:r>
    </w:p>
    <w:p w14:paraId="42BF1DFC" w14:textId="77777777" w:rsidR="003B31F9" w:rsidRDefault="003B31F9" w:rsidP="001F17BB">
      <w:pPr>
        <w:rPr>
          <w:sz w:val="22"/>
          <w:szCs w:val="22"/>
        </w:rPr>
      </w:pPr>
    </w:p>
    <w:p w14:paraId="7DB3D6E3" w14:textId="79A728A9" w:rsidR="00FC5FB9" w:rsidRPr="003B31F9" w:rsidRDefault="003B31F9" w:rsidP="0022245E">
      <w:pPr>
        <w:ind w:left="990"/>
        <w:rPr>
          <w:szCs w:val="24"/>
        </w:rPr>
      </w:pPr>
      <w:r w:rsidRPr="003B31F9">
        <w:rPr>
          <w:szCs w:val="24"/>
        </w:rPr>
        <w:t>Shall be corrected within 6 months or, for ginners, before the start of the next ginning season (whichever is shorter) and provide evidence to Better Cotton or the third-party assessor demonstrating how the issue has been addressed. If not addressed within 6 months or before the new season, a Minor NC shall escalate to a Major NC and the timelines for a Major NC shall be followed.</w:t>
      </w:r>
    </w:p>
    <w:p w14:paraId="2143CCA9" w14:textId="7CDB35E4" w:rsidR="003B31F9" w:rsidRDefault="003B31F9" w:rsidP="001F17BB">
      <w:pPr>
        <w:rPr>
          <w:sz w:val="22"/>
          <w:szCs w:val="22"/>
        </w:rPr>
      </w:pPr>
    </w:p>
    <w:p w14:paraId="30B63AD2" w14:textId="72734242" w:rsidR="003B31F9" w:rsidRPr="003B31F9" w:rsidRDefault="003B31F9" w:rsidP="0022245E">
      <w:pPr>
        <w:ind w:left="990"/>
        <w:rPr>
          <w:b/>
          <w:bCs/>
          <w:szCs w:val="24"/>
        </w:rPr>
      </w:pPr>
      <w:r w:rsidRPr="003B31F9">
        <w:rPr>
          <w:b/>
          <w:bCs/>
          <w:szCs w:val="24"/>
        </w:rPr>
        <w:t>Major NCs</w:t>
      </w:r>
    </w:p>
    <w:p w14:paraId="5068B862" w14:textId="1925AB0C" w:rsidR="003B31F9" w:rsidRPr="003B31F9" w:rsidRDefault="003B31F9" w:rsidP="003B31F9">
      <w:pPr>
        <w:ind w:left="360"/>
        <w:rPr>
          <w:szCs w:val="24"/>
        </w:rPr>
      </w:pPr>
    </w:p>
    <w:p w14:paraId="46FD6145" w14:textId="28CBD034" w:rsidR="003B31F9" w:rsidRDefault="003B31F9" w:rsidP="0022245E">
      <w:pPr>
        <w:ind w:left="990"/>
        <w:rPr>
          <w:szCs w:val="24"/>
        </w:rPr>
      </w:pPr>
      <w:r w:rsidRPr="003B31F9">
        <w:rPr>
          <w:szCs w:val="24"/>
        </w:rPr>
        <w:t xml:space="preserve">Shall be corrected within 30 calendar days of receipt of the final assessment report and provide evidence to Better Cotton or the third-party assessor demonstrating how the issue has been addressed. If not addressed within 30 calendar days, a Major NC shall </w:t>
      </w:r>
      <w:r w:rsidRPr="003B31F9">
        <w:rPr>
          <w:szCs w:val="24"/>
        </w:rPr>
        <w:lastRenderedPageBreak/>
        <w:t>lead to the suspension of their BCP account. The duration of a suspension period will be defined by Better Cotton considering the response to the NC.</w:t>
      </w:r>
    </w:p>
    <w:p w14:paraId="6F0DE6AB" w14:textId="5C5CBD96" w:rsidR="003B31F9" w:rsidRDefault="003B31F9" w:rsidP="003B31F9">
      <w:pPr>
        <w:ind w:left="360"/>
        <w:rPr>
          <w:szCs w:val="24"/>
        </w:rPr>
      </w:pPr>
    </w:p>
    <w:p w14:paraId="277564A0" w14:textId="77777777" w:rsidR="003B31F9" w:rsidRDefault="003B31F9" w:rsidP="0022245E">
      <w:pPr>
        <w:pStyle w:val="Default"/>
        <w:ind w:left="990"/>
        <w:rPr>
          <w:rFonts w:ascii="Arial" w:hAnsi="Arial" w:cs="Arial"/>
        </w:rPr>
      </w:pPr>
      <w:r w:rsidRPr="003B31F9">
        <w:rPr>
          <w:rFonts w:ascii="Arial" w:hAnsi="Arial" w:cs="Arial"/>
        </w:rPr>
        <w:t xml:space="preserve">The role of assessors is to ensure that organizations: </w:t>
      </w:r>
    </w:p>
    <w:p w14:paraId="6DB4AEE2" w14:textId="7260B79B" w:rsidR="003B31F9" w:rsidRDefault="003B31F9" w:rsidP="0022245E">
      <w:pPr>
        <w:pStyle w:val="Default"/>
        <w:numPr>
          <w:ilvl w:val="0"/>
          <w:numId w:val="23"/>
        </w:numPr>
        <w:ind w:left="1350"/>
        <w:rPr>
          <w:rFonts w:ascii="Arial" w:hAnsi="Arial" w:cs="Arial"/>
        </w:rPr>
      </w:pPr>
      <w:r w:rsidRPr="003B31F9">
        <w:rPr>
          <w:rFonts w:ascii="Arial" w:hAnsi="Arial" w:cs="Arial"/>
        </w:rPr>
        <w:t xml:space="preserve">are aware of the requirement of submitting CAP for their NCs. </w:t>
      </w:r>
    </w:p>
    <w:p w14:paraId="4032EA0F" w14:textId="2049C819" w:rsidR="003B31F9" w:rsidRDefault="003B31F9" w:rsidP="0022245E">
      <w:pPr>
        <w:pStyle w:val="Default"/>
        <w:numPr>
          <w:ilvl w:val="0"/>
          <w:numId w:val="23"/>
        </w:numPr>
        <w:ind w:left="1350"/>
        <w:rPr>
          <w:rFonts w:ascii="Arial" w:hAnsi="Arial" w:cs="Arial"/>
        </w:rPr>
      </w:pPr>
      <w:proofErr w:type="gramStart"/>
      <w:r w:rsidRPr="003B31F9">
        <w:rPr>
          <w:rFonts w:ascii="Arial" w:hAnsi="Arial" w:cs="Arial"/>
        </w:rPr>
        <w:t>the</w:t>
      </w:r>
      <w:proofErr w:type="gramEnd"/>
      <w:r w:rsidRPr="003B31F9">
        <w:rPr>
          <w:rFonts w:ascii="Arial" w:hAnsi="Arial" w:cs="Arial"/>
        </w:rPr>
        <w:t xml:space="preserve"> information required in completing the CAP is sufficient. </w:t>
      </w:r>
    </w:p>
    <w:p w14:paraId="1B712D7E" w14:textId="287ED20D" w:rsidR="003B31F9" w:rsidRDefault="003B31F9" w:rsidP="0022245E">
      <w:pPr>
        <w:pStyle w:val="Default"/>
        <w:numPr>
          <w:ilvl w:val="0"/>
          <w:numId w:val="23"/>
        </w:numPr>
        <w:ind w:left="1350"/>
        <w:rPr>
          <w:rFonts w:ascii="Arial" w:hAnsi="Arial" w:cs="Arial"/>
        </w:rPr>
      </w:pPr>
      <w:r w:rsidRPr="003B31F9">
        <w:rPr>
          <w:rFonts w:ascii="Arial" w:hAnsi="Arial" w:cs="Arial"/>
        </w:rPr>
        <w:t xml:space="preserve">submit CAP to Better Cotton or the Third-Party Verifier within the required timeframe. </w:t>
      </w:r>
    </w:p>
    <w:p w14:paraId="08146CEF" w14:textId="0C862B28" w:rsidR="003B31F9" w:rsidRPr="003B31F9" w:rsidRDefault="003B31F9" w:rsidP="0022245E">
      <w:pPr>
        <w:pStyle w:val="Default"/>
        <w:numPr>
          <w:ilvl w:val="0"/>
          <w:numId w:val="23"/>
        </w:numPr>
        <w:ind w:left="1350"/>
        <w:rPr>
          <w:rFonts w:ascii="Arial" w:hAnsi="Arial" w:cs="Arial"/>
        </w:rPr>
      </w:pPr>
      <w:r w:rsidRPr="003B31F9">
        <w:rPr>
          <w:rFonts w:ascii="Arial" w:hAnsi="Arial" w:cs="Arial"/>
        </w:rPr>
        <w:t xml:space="preserve">are aware of the specified timelines for closing major and minor NCs, and the consequences of not meeting these NCs. </w:t>
      </w:r>
    </w:p>
    <w:p w14:paraId="7D5A8F70" w14:textId="77777777" w:rsidR="003B31F9" w:rsidRPr="00FC5FB9" w:rsidRDefault="003B31F9" w:rsidP="001F17BB">
      <w:pPr>
        <w:rPr>
          <w:rFonts w:cs="Arial"/>
          <w:lang w:eastAsia="zh-CN"/>
        </w:rPr>
      </w:pPr>
    </w:p>
    <w:p w14:paraId="41346FCF" w14:textId="0A361F4E" w:rsidR="001F17BB" w:rsidRPr="0030599A" w:rsidRDefault="00D9568C" w:rsidP="0055600C">
      <w:pPr>
        <w:pStyle w:val="Heading2"/>
        <w:numPr>
          <w:ilvl w:val="1"/>
          <w:numId w:val="35"/>
        </w:numPr>
        <w:ind w:left="990" w:hanging="630"/>
        <w:rPr>
          <w:lang w:eastAsia="zh-CN"/>
        </w:rPr>
      </w:pPr>
      <w:bookmarkStart w:id="18" w:name="_Toc158626689"/>
      <w:r w:rsidRPr="00A46676">
        <w:rPr>
          <w:lang w:eastAsia="zh-CN"/>
        </w:rPr>
        <w:t>Assessment</w:t>
      </w:r>
      <w:r w:rsidR="003D71FA" w:rsidRPr="00A46676">
        <w:rPr>
          <w:lang w:eastAsia="zh-CN"/>
        </w:rPr>
        <w:t xml:space="preserve"> Decision</w:t>
      </w:r>
      <w:bookmarkEnd w:id="18"/>
    </w:p>
    <w:p w14:paraId="1180A2B1" w14:textId="77777777" w:rsidR="00A578BC" w:rsidRDefault="00A578BC" w:rsidP="001F17BB">
      <w:pPr>
        <w:rPr>
          <w:rFonts w:cs="Arial"/>
          <w:lang w:eastAsia="zh-CN"/>
        </w:rPr>
      </w:pPr>
    </w:p>
    <w:p w14:paraId="26F0CA61" w14:textId="0A0F8C28" w:rsidR="000A0805" w:rsidRDefault="00637452" w:rsidP="00A578BC">
      <w:pPr>
        <w:ind w:left="990"/>
        <w:rPr>
          <w:rFonts w:cs="Arial"/>
          <w:lang w:eastAsia="zh-CN"/>
        </w:rPr>
      </w:pPr>
      <w:r>
        <w:rPr>
          <w:rFonts w:cs="Arial"/>
          <w:lang w:eastAsia="zh-CN"/>
        </w:rPr>
        <w:t>When all corrective actions are completed, the</w:t>
      </w:r>
      <w:r w:rsidRPr="00637452">
        <w:rPr>
          <w:rFonts w:cs="Arial"/>
          <w:lang w:eastAsia="zh-CN"/>
        </w:rPr>
        <w:t xml:space="preserve"> results </w:t>
      </w:r>
      <w:r>
        <w:rPr>
          <w:rFonts w:cs="Arial"/>
          <w:lang w:eastAsia="zh-CN"/>
        </w:rPr>
        <w:t xml:space="preserve">are </w:t>
      </w:r>
      <w:r w:rsidRPr="00637452">
        <w:rPr>
          <w:rFonts w:cs="Arial"/>
          <w:lang w:eastAsia="zh-CN"/>
        </w:rPr>
        <w:t xml:space="preserve">provided to an IDFL </w:t>
      </w:r>
      <w:r w:rsidR="00D9568C">
        <w:rPr>
          <w:rFonts w:cs="Arial"/>
          <w:lang w:eastAsia="zh-CN"/>
        </w:rPr>
        <w:t>assessor</w:t>
      </w:r>
      <w:r w:rsidRPr="00637452">
        <w:rPr>
          <w:rFonts w:cs="Arial"/>
          <w:lang w:eastAsia="zh-CN"/>
        </w:rPr>
        <w:t xml:space="preserve">. </w:t>
      </w:r>
      <w:r>
        <w:rPr>
          <w:rFonts w:cs="Arial"/>
          <w:lang w:eastAsia="zh-CN"/>
        </w:rPr>
        <w:t>The results are</w:t>
      </w:r>
      <w:r w:rsidRPr="00637452">
        <w:rPr>
          <w:rFonts w:cs="Arial"/>
          <w:lang w:eastAsia="zh-CN"/>
        </w:rPr>
        <w:t xml:space="preserve"> carefully reviewed, and a final </w:t>
      </w:r>
      <w:r w:rsidR="00D9568C">
        <w:rPr>
          <w:rFonts w:cs="Arial"/>
          <w:lang w:eastAsia="zh-CN"/>
        </w:rPr>
        <w:t>assessment</w:t>
      </w:r>
      <w:r w:rsidRPr="00637452">
        <w:rPr>
          <w:rFonts w:cs="Arial"/>
          <w:lang w:eastAsia="zh-CN"/>
        </w:rPr>
        <w:t xml:space="preserve"> decision is </w:t>
      </w:r>
      <w:r>
        <w:rPr>
          <w:rFonts w:cs="Arial"/>
          <w:lang w:eastAsia="zh-CN"/>
        </w:rPr>
        <w:t>made</w:t>
      </w:r>
      <w:r w:rsidRPr="00637452">
        <w:rPr>
          <w:rFonts w:cs="Arial"/>
          <w:lang w:eastAsia="zh-CN"/>
        </w:rPr>
        <w:t xml:space="preserve">. </w:t>
      </w:r>
    </w:p>
    <w:p w14:paraId="0FE5E479" w14:textId="08E19155" w:rsidR="000A0805" w:rsidRDefault="000A0805" w:rsidP="001F17BB">
      <w:pPr>
        <w:rPr>
          <w:rFonts w:cs="Arial"/>
          <w:lang w:eastAsia="zh-CN"/>
        </w:rPr>
      </w:pPr>
    </w:p>
    <w:p w14:paraId="523AB087" w14:textId="057828A9" w:rsidR="00502AC9" w:rsidRPr="0030599A" w:rsidRDefault="006E7C72" w:rsidP="00A578BC">
      <w:pPr>
        <w:pStyle w:val="Heading2"/>
        <w:numPr>
          <w:ilvl w:val="1"/>
          <w:numId w:val="35"/>
        </w:numPr>
        <w:ind w:left="990" w:hanging="630"/>
        <w:rPr>
          <w:lang w:eastAsia="zh-CN"/>
        </w:rPr>
      </w:pPr>
      <w:bookmarkStart w:id="19" w:name="_Toc158626690"/>
      <w:r>
        <w:rPr>
          <w:lang w:eastAsia="zh-CN"/>
        </w:rPr>
        <w:t>Assessment</w:t>
      </w:r>
      <w:r w:rsidR="00502AC9" w:rsidRPr="0030599A">
        <w:rPr>
          <w:lang w:eastAsia="zh-CN"/>
        </w:rPr>
        <w:t xml:space="preserve"> </w:t>
      </w:r>
      <w:r w:rsidR="00502AC9">
        <w:rPr>
          <w:lang w:eastAsia="zh-CN"/>
        </w:rPr>
        <w:t>Validity</w:t>
      </w:r>
      <w:bookmarkEnd w:id="19"/>
    </w:p>
    <w:p w14:paraId="5F4362D8" w14:textId="77777777" w:rsidR="00A578BC" w:rsidRDefault="00A578BC" w:rsidP="00487B7B">
      <w:pPr>
        <w:rPr>
          <w:rFonts w:cs="Arial"/>
          <w:lang w:eastAsia="zh-CN"/>
        </w:rPr>
      </w:pPr>
    </w:p>
    <w:p w14:paraId="160093B5" w14:textId="75D09DD1" w:rsidR="00487B7B" w:rsidRPr="00487B7B" w:rsidRDefault="00D9568C" w:rsidP="00A578BC">
      <w:pPr>
        <w:ind w:left="990"/>
        <w:rPr>
          <w:rFonts w:cs="Arial"/>
          <w:color w:val="FF0000"/>
          <w:lang w:eastAsia="zh-CN"/>
        </w:rPr>
      </w:pPr>
      <w:r>
        <w:rPr>
          <w:rFonts w:cs="Arial"/>
          <w:lang w:eastAsia="zh-CN"/>
        </w:rPr>
        <w:t>Better Cotton CoC Standard Assessment</w:t>
      </w:r>
      <w:r w:rsidR="00502AC9">
        <w:rPr>
          <w:rFonts w:cs="Arial"/>
          <w:lang w:eastAsia="zh-CN"/>
        </w:rPr>
        <w:t xml:space="preserve"> is valid </w:t>
      </w:r>
      <w:r w:rsidR="005C4BED">
        <w:rPr>
          <w:rFonts w:cs="Arial"/>
          <w:lang w:eastAsia="zh-CN"/>
        </w:rPr>
        <w:t>according to the Assessment Cycle</w:t>
      </w:r>
      <w:r w:rsidR="00487B7B">
        <w:rPr>
          <w:rFonts w:cs="Arial"/>
          <w:lang w:eastAsia="zh-CN"/>
        </w:rPr>
        <w:t>*</w:t>
      </w:r>
      <w:r w:rsidR="005C4BED">
        <w:rPr>
          <w:rFonts w:cs="Arial"/>
          <w:lang w:eastAsia="zh-CN"/>
        </w:rPr>
        <w:t xml:space="preserve"> the organization has been assigned by Better Cotton.</w:t>
      </w:r>
      <w:r w:rsidR="00487B7B">
        <w:rPr>
          <w:rFonts w:cs="Arial"/>
          <w:lang w:eastAsia="zh-CN"/>
        </w:rPr>
        <w:t xml:space="preserve">  The validity operates on a 3-year assessment cycle</w:t>
      </w:r>
      <w:r w:rsidR="001B2625">
        <w:rPr>
          <w:rFonts w:cs="Arial"/>
          <w:lang w:eastAsia="zh-CN"/>
        </w:rPr>
        <w:t xml:space="preserve"> and will restart </w:t>
      </w:r>
      <w:proofErr w:type="gramStart"/>
      <w:r w:rsidR="001B2625">
        <w:rPr>
          <w:rFonts w:cs="Arial"/>
          <w:lang w:eastAsia="zh-CN"/>
        </w:rPr>
        <w:t>on</w:t>
      </w:r>
      <w:proofErr w:type="gramEnd"/>
      <w:r w:rsidR="001B2625">
        <w:rPr>
          <w:rFonts w:cs="Arial"/>
          <w:lang w:eastAsia="zh-CN"/>
        </w:rPr>
        <w:t xml:space="preserve"> year 4</w:t>
      </w:r>
      <w:r w:rsidR="00487B7B">
        <w:rPr>
          <w:rFonts w:cs="Arial"/>
          <w:lang w:eastAsia="zh-CN"/>
        </w:rPr>
        <w:t xml:space="preserve">.  </w:t>
      </w:r>
      <w:r w:rsidR="001B2625" w:rsidRPr="00EC1E33">
        <w:rPr>
          <w:rFonts w:cs="Arial"/>
          <w:lang w:eastAsia="zh-CN"/>
        </w:rPr>
        <w:t>Organizations will need to re-submit their registration form to Better Cotton for renewal, starting in year 4.</w:t>
      </w:r>
      <w:r w:rsidR="00110971" w:rsidRPr="00EC1E33">
        <w:rPr>
          <w:rFonts w:cs="Arial"/>
          <w:lang w:eastAsia="zh-CN"/>
        </w:rPr>
        <w:t xml:space="preserve"> </w:t>
      </w:r>
      <w:r w:rsidR="00487B7B" w:rsidRPr="00EC1E33">
        <w:rPr>
          <w:rFonts w:cs="Arial"/>
          <w:lang w:eastAsia="zh-CN"/>
        </w:rPr>
        <w:t xml:space="preserve"> </w:t>
      </w:r>
      <w:r w:rsidR="00502AC9" w:rsidRPr="00EC1E33">
        <w:rPr>
          <w:rFonts w:cs="Arial"/>
          <w:lang w:eastAsia="zh-CN"/>
        </w:rPr>
        <w:t xml:space="preserve"> </w:t>
      </w:r>
    </w:p>
    <w:p w14:paraId="488A410F" w14:textId="72AA5E3F" w:rsidR="00E71F81" w:rsidRDefault="00E71F81" w:rsidP="001B2625">
      <w:pPr>
        <w:rPr>
          <w:rFonts w:cs="Arial"/>
          <w:lang w:eastAsia="zh-CN"/>
        </w:rPr>
      </w:pPr>
    </w:p>
    <w:p w14:paraId="38375DF6" w14:textId="7DC828A1" w:rsidR="00E71F81" w:rsidRDefault="00487B7B" w:rsidP="00A578BC">
      <w:pPr>
        <w:ind w:left="990"/>
        <w:rPr>
          <w:rFonts w:cs="Arial"/>
          <w:sz w:val="20"/>
          <w:szCs w:val="16"/>
          <w:lang w:eastAsia="zh-CN"/>
        </w:rPr>
      </w:pPr>
      <w:r>
        <w:rPr>
          <w:rFonts w:cs="Arial"/>
          <w:lang w:eastAsia="zh-CN"/>
        </w:rPr>
        <w:t>Assessment Cycles</w:t>
      </w:r>
      <w:r>
        <w:rPr>
          <w:rFonts w:cs="Arial"/>
          <w:lang w:eastAsia="zh-CN"/>
        </w:rPr>
        <w:br/>
      </w:r>
      <w:r w:rsidRPr="00E71F81">
        <w:rPr>
          <w:rFonts w:cs="Arial"/>
          <w:sz w:val="20"/>
          <w:szCs w:val="16"/>
          <w:lang w:eastAsia="zh-CN"/>
        </w:rPr>
        <w:t xml:space="preserve">*Better Cotton reserves the right to amend the category based on various factors. </w:t>
      </w:r>
    </w:p>
    <w:p w14:paraId="52A112F8" w14:textId="77777777" w:rsidR="00E71F81" w:rsidRDefault="00E71F81" w:rsidP="001B2625">
      <w:pPr>
        <w:rPr>
          <w:rFonts w:cs="Arial"/>
          <w:sz w:val="20"/>
          <w:szCs w:val="16"/>
          <w:lang w:eastAsia="zh-CN"/>
        </w:rPr>
      </w:pPr>
    </w:p>
    <w:p w14:paraId="0D544F37" w14:textId="18552DA4" w:rsidR="001B2625" w:rsidRDefault="00E71F81" w:rsidP="001B2625">
      <w:pPr>
        <w:rPr>
          <w:rFonts w:cs="Arial"/>
          <w:lang w:eastAsia="zh-CN"/>
        </w:rPr>
      </w:pPr>
      <w:r w:rsidRPr="00E71F81">
        <w:rPr>
          <w:rFonts w:cs="Arial"/>
          <w:noProof/>
          <w:lang w:eastAsia="zh-CN"/>
        </w:rPr>
        <w:drawing>
          <wp:inline distT="0" distB="0" distL="0" distR="0" wp14:anchorId="16C499C3" wp14:editId="00FA67F3">
            <wp:extent cx="6604386" cy="4109522"/>
            <wp:effectExtent l="19050" t="19050" r="25400" b="24765"/>
            <wp:docPr id="1368364557" name="Picture 1" descr="A diagram of a company's risk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64557" name="Picture 1" descr="A diagram of a company's risk management&#10;&#10;Description automatically generated"/>
                    <pic:cNvPicPr/>
                  </pic:nvPicPr>
                  <pic:blipFill>
                    <a:blip r:embed="rId40"/>
                    <a:stretch>
                      <a:fillRect/>
                    </a:stretch>
                  </pic:blipFill>
                  <pic:spPr>
                    <a:xfrm>
                      <a:off x="0" y="0"/>
                      <a:ext cx="6605791" cy="4110396"/>
                    </a:xfrm>
                    <a:prstGeom prst="rect">
                      <a:avLst/>
                    </a:prstGeom>
                    <a:ln w="3175" cap="sq">
                      <a:solidFill>
                        <a:srgbClr val="000000"/>
                      </a:solidFill>
                      <a:prstDash val="solid"/>
                      <a:miter lim="800000"/>
                    </a:ln>
                    <a:effectLst/>
                  </pic:spPr>
                </pic:pic>
              </a:graphicData>
            </a:graphic>
          </wp:inline>
        </w:drawing>
      </w:r>
    </w:p>
    <w:p w14:paraId="2A00712C" w14:textId="283B2CFB" w:rsidR="00A14715" w:rsidRDefault="002D03C1" w:rsidP="00F03E12">
      <w:pPr>
        <w:pStyle w:val="Heading1"/>
        <w:numPr>
          <w:ilvl w:val="0"/>
          <w:numId w:val="35"/>
        </w:numPr>
        <w:rPr>
          <w:lang w:eastAsia="zh-CN"/>
        </w:rPr>
      </w:pPr>
      <w:bookmarkStart w:id="20" w:name="_Toc158293488"/>
      <w:bookmarkStart w:id="21" w:name="_Toc158626691"/>
      <w:r>
        <w:rPr>
          <w:lang w:eastAsia="zh-CN"/>
        </w:rPr>
        <w:lastRenderedPageBreak/>
        <w:t>Better Cotton CoC</w:t>
      </w:r>
      <w:r w:rsidR="001336C1" w:rsidRPr="00A14715">
        <w:rPr>
          <w:lang w:eastAsia="zh-CN"/>
        </w:rPr>
        <w:t xml:space="preserve"> Pre-A</w:t>
      </w:r>
      <w:r>
        <w:rPr>
          <w:lang w:eastAsia="zh-CN"/>
        </w:rPr>
        <w:t>ssessment</w:t>
      </w:r>
      <w:r w:rsidR="001336C1" w:rsidRPr="00A14715">
        <w:rPr>
          <w:lang w:eastAsia="zh-CN"/>
        </w:rPr>
        <w:t xml:space="preserve"> </w:t>
      </w:r>
      <w:r w:rsidR="001F17BB" w:rsidRPr="00A14715">
        <w:rPr>
          <w:lang w:eastAsia="zh-CN"/>
        </w:rPr>
        <w:t xml:space="preserve">Documentation </w:t>
      </w:r>
      <w:r w:rsidR="00B249D6">
        <w:rPr>
          <w:lang w:eastAsia="zh-CN"/>
        </w:rPr>
        <w:t>Checklist</w:t>
      </w:r>
      <w:bookmarkEnd w:id="20"/>
      <w:bookmarkEnd w:id="21"/>
    </w:p>
    <w:p w14:paraId="316C9CDB" w14:textId="2ECA3E86" w:rsidR="0027518B" w:rsidRDefault="0027518B" w:rsidP="0027518B">
      <w:pPr>
        <w:rPr>
          <w:lang w:eastAsia="zh-CN"/>
        </w:rPr>
      </w:pPr>
    </w:p>
    <w:p w14:paraId="1FCD60AA" w14:textId="7F771302" w:rsidR="0027518B" w:rsidRPr="0027518B" w:rsidRDefault="0027518B" w:rsidP="0027518B">
      <w:pPr>
        <w:rPr>
          <w:lang w:eastAsia="zh-CN"/>
        </w:rPr>
      </w:pPr>
      <w:r>
        <w:rPr>
          <w:lang w:eastAsia="zh-CN"/>
        </w:rPr>
        <w:t>The following pre-</w:t>
      </w:r>
      <w:r w:rsidR="002D03C1">
        <w:rPr>
          <w:lang w:eastAsia="zh-CN"/>
        </w:rPr>
        <w:t>assessment</w:t>
      </w:r>
      <w:r>
        <w:rPr>
          <w:lang w:eastAsia="zh-CN"/>
        </w:rPr>
        <w:t xml:space="preserve"> documentation must be completed and submitted to IDFL before the onsite evaluation can be </w:t>
      </w:r>
      <w:r w:rsidR="00595DBE">
        <w:rPr>
          <w:lang w:eastAsia="zh-CN"/>
        </w:rPr>
        <w:t>scheduled</w:t>
      </w:r>
      <w:r>
        <w:rPr>
          <w:lang w:eastAsia="zh-CN"/>
        </w:rPr>
        <w:t xml:space="preserve">. </w:t>
      </w:r>
    </w:p>
    <w:p w14:paraId="55F0B93A" w14:textId="0EFED771" w:rsidR="00B152BC" w:rsidRDefault="00B152BC" w:rsidP="001F17BB">
      <w:pPr>
        <w:rPr>
          <w:rFonts w:cs="Arial"/>
          <w:lang w:eastAsia="zh-CN"/>
        </w:rPr>
      </w:pPr>
    </w:p>
    <w:tbl>
      <w:tblPr>
        <w:tblStyle w:val="TableGrid"/>
        <w:tblW w:w="0" w:type="auto"/>
        <w:tblLook w:val="04A0" w:firstRow="1" w:lastRow="0" w:firstColumn="1" w:lastColumn="0" w:noHBand="0" w:noVBand="1"/>
      </w:tblPr>
      <w:tblGrid>
        <w:gridCol w:w="646"/>
        <w:gridCol w:w="5808"/>
        <w:gridCol w:w="4003"/>
      </w:tblGrid>
      <w:tr w:rsidR="00B152BC" w14:paraId="0682CC78" w14:textId="77777777" w:rsidTr="006717D2">
        <w:tc>
          <w:tcPr>
            <w:tcW w:w="646" w:type="dxa"/>
            <w:shd w:val="clear" w:color="auto" w:fill="D9D9D9" w:themeFill="background1" w:themeFillShade="D9"/>
            <w:vAlign w:val="center"/>
          </w:tcPr>
          <w:p w14:paraId="2DE0C0C7" w14:textId="0A124A08" w:rsidR="00B152BC" w:rsidRPr="00FD431A" w:rsidRDefault="00B152BC" w:rsidP="00FD431A">
            <w:pPr>
              <w:jc w:val="center"/>
              <w:rPr>
                <w:rFonts w:cs="Arial"/>
                <w:b/>
                <w:bCs/>
                <w:lang w:eastAsia="zh-CN"/>
              </w:rPr>
            </w:pPr>
            <w:r w:rsidRPr="00FD431A">
              <w:rPr>
                <w:rFonts w:cs="Arial"/>
                <w:b/>
                <w:bCs/>
                <w:lang w:eastAsia="zh-CN"/>
              </w:rPr>
              <w:t>No.</w:t>
            </w:r>
          </w:p>
        </w:tc>
        <w:tc>
          <w:tcPr>
            <w:tcW w:w="5808" w:type="dxa"/>
            <w:shd w:val="clear" w:color="auto" w:fill="D9D9D9" w:themeFill="background1" w:themeFillShade="D9"/>
          </w:tcPr>
          <w:p w14:paraId="225059B4" w14:textId="28EC90DC" w:rsidR="00B152BC" w:rsidRPr="00FD431A" w:rsidRDefault="00B152BC" w:rsidP="001F17BB">
            <w:pPr>
              <w:rPr>
                <w:rFonts w:cs="Arial"/>
                <w:b/>
                <w:bCs/>
                <w:lang w:eastAsia="zh-CN"/>
              </w:rPr>
            </w:pPr>
            <w:r w:rsidRPr="00FD431A">
              <w:rPr>
                <w:rFonts w:cs="Arial"/>
                <w:b/>
                <w:bCs/>
                <w:lang w:eastAsia="zh-CN"/>
              </w:rPr>
              <w:t>Documentation</w:t>
            </w:r>
          </w:p>
        </w:tc>
        <w:tc>
          <w:tcPr>
            <w:tcW w:w="4003" w:type="dxa"/>
            <w:shd w:val="clear" w:color="auto" w:fill="D9D9D9" w:themeFill="background1" w:themeFillShade="D9"/>
          </w:tcPr>
          <w:p w14:paraId="7F8E05D6" w14:textId="6410D73E" w:rsidR="00B152BC" w:rsidRPr="00FD431A" w:rsidRDefault="00B152BC" w:rsidP="001F17BB">
            <w:pPr>
              <w:rPr>
                <w:rFonts w:cs="Arial"/>
                <w:b/>
                <w:bCs/>
                <w:lang w:eastAsia="zh-CN"/>
              </w:rPr>
            </w:pPr>
            <w:r w:rsidRPr="00FD431A">
              <w:rPr>
                <w:rFonts w:cs="Arial"/>
                <w:b/>
                <w:bCs/>
                <w:lang w:eastAsia="zh-CN"/>
              </w:rPr>
              <w:t>Guidance (if any)</w:t>
            </w:r>
          </w:p>
        </w:tc>
      </w:tr>
      <w:tr w:rsidR="00B152BC" w14:paraId="608EE1C5" w14:textId="77777777" w:rsidTr="00F476CC">
        <w:trPr>
          <w:trHeight w:val="296"/>
        </w:trPr>
        <w:tc>
          <w:tcPr>
            <w:tcW w:w="646" w:type="dxa"/>
            <w:vAlign w:val="center"/>
          </w:tcPr>
          <w:p w14:paraId="62EAD675" w14:textId="70CA8FAC" w:rsidR="00B152BC" w:rsidRPr="009972A0" w:rsidRDefault="00E71F81" w:rsidP="00FD431A">
            <w:pPr>
              <w:jc w:val="center"/>
              <w:rPr>
                <w:rFonts w:cs="Arial"/>
                <w:sz w:val="20"/>
                <w:lang w:eastAsia="zh-CN"/>
              </w:rPr>
            </w:pPr>
            <w:r>
              <w:rPr>
                <w:rFonts w:cs="Arial"/>
                <w:sz w:val="20"/>
                <w:lang w:eastAsia="zh-CN"/>
              </w:rPr>
              <w:t>1</w:t>
            </w:r>
          </w:p>
        </w:tc>
        <w:tc>
          <w:tcPr>
            <w:tcW w:w="5808" w:type="dxa"/>
            <w:vAlign w:val="center"/>
          </w:tcPr>
          <w:p w14:paraId="66322F8D" w14:textId="57F99F41" w:rsidR="00B152BC" w:rsidRPr="009972A0" w:rsidRDefault="00917568" w:rsidP="00952EAE">
            <w:pPr>
              <w:rPr>
                <w:rFonts w:cs="Arial"/>
                <w:sz w:val="20"/>
                <w:lang w:eastAsia="zh-CN"/>
              </w:rPr>
            </w:pPr>
            <w:r>
              <w:rPr>
                <w:rFonts w:cs="Arial"/>
                <w:sz w:val="20"/>
                <w:lang w:eastAsia="zh-CN"/>
              </w:rPr>
              <w:t>Training participation records within the 12 months</w:t>
            </w:r>
          </w:p>
        </w:tc>
        <w:tc>
          <w:tcPr>
            <w:tcW w:w="4003" w:type="dxa"/>
            <w:vAlign w:val="center"/>
          </w:tcPr>
          <w:p w14:paraId="2E572764" w14:textId="75BDC415" w:rsidR="00F87520" w:rsidRPr="009972A0" w:rsidRDefault="00EF523A" w:rsidP="00F87520">
            <w:pPr>
              <w:rPr>
                <w:rFonts w:cs="Arial"/>
                <w:sz w:val="20"/>
                <w:lang w:eastAsia="zh-CN"/>
              </w:rPr>
            </w:pPr>
            <w:r>
              <w:rPr>
                <w:rFonts w:cs="Arial"/>
                <w:sz w:val="20"/>
                <w:lang w:eastAsia="zh-CN"/>
              </w:rPr>
              <w:t>Staff and temporary workers.</w:t>
            </w:r>
          </w:p>
        </w:tc>
      </w:tr>
      <w:tr w:rsidR="00F87520" w14:paraId="5C6B731A" w14:textId="77777777" w:rsidTr="00F476CC">
        <w:trPr>
          <w:trHeight w:val="269"/>
        </w:trPr>
        <w:tc>
          <w:tcPr>
            <w:tcW w:w="646" w:type="dxa"/>
            <w:vAlign w:val="center"/>
          </w:tcPr>
          <w:p w14:paraId="2C2EBA3C" w14:textId="25F6BA10" w:rsidR="00F87520" w:rsidRPr="009972A0" w:rsidRDefault="00E71F81" w:rsidP="00FD431A">
            <w:pPr>
              <w:jc w:val="center"/>
              <w:rPr>
                <w:rFonts w:cs="Arial"/>
                <w:sz w:val="20"/>
                <w:lang w:eastAsia="zh-CN"/>
              </w:rPr>
            </w:pPr>
            <w:r>
              <w:rPr>
                <w:rFonts w:cs="Arial"/>
                <w:sz w:val="20"/>
                <w:lang w:eastAsia="zh-CN"/>
              </w:rPr>
              <w:t>2</w:t>
            </w:r>
          </w:p>
        </w:tc>
        <w:tc>
          <w:tcPr>
            <w:tcW w:w="5808" w:type="dxa"/>
            <w:vAlign w:val="center"/>
          </w:tcPr>
          <w:p w14:paraId="17AB6AD6" w14:textId="131B9F13" w:rsidR="00F87520" w:rsidRDefault="00917568" w:rsidP="00952EAE">
            <w:pPr>
              <w:rPr>
                <w:rFonts w:cs="Arial"/>
                <w:sz w:val="20"/>
                <w:lang w:eastAsia="zh-CN"/>
              </w:rPr>
            </w:pPr>
            <w:r>
              <w:rPr>
                <w:rFonts w:cs="Arial"/>
                <w:sz w:val="20"/>
                <w:lang w:eastAsia="zh-CN"/>
              </w:rPr>
              <w:t xml:space="preserve">Any previous </w:t>
            </w:r>
            <w:r w:rsidR="00475167">
              <w:rPr>
                <w:rFonts w:cs="Arial"/>
                <w:sz w:val="20"/>
                <w:lang w:eastAsia="zh-CN"/>
              </w:rPr>
              <w:t>non-conformities</w:t>
            </w:r>
            <w:r>
              <w:rPr>
                <w:rFonts w:cs="Arial"/>
                <w:sz w:val="20"/>
                <w:lang w:eastAsia="zh-CN"/>
              </w:rPr>
              <w:t xml:space="preserve"> (NCs)</w:t>
            </w:r>
          </w:p>
        </w:tc>
        <w:tc>
          <w:tcPr>
            <w:tcW w:w="4003" w:type="dxa"/>
            <w:vAlign w:val="center"/>
          </w:tcPr>
          <w:p w14:paraId="262E61D2" w14:textId="7E59B9FF" w:rsidR="00F87520" w:rsidRDefault="00F87520" w:rsidP="00F87520">
            <w:pPr>
              <w:rPr>
                <w:rFonts w:cs="Arial"/>
                <w:sz w:val="20"/>
                <w:lang w:eastAsia="zh-CN"/>
              </w:rPr>
            </w:pPr>
          </w:p>
        </w:tc>
      </w:tr>
      <w:tr w:rsidR="00F87520" w14:paraId="531056C4" w14:textId="77777777" w:rsidTr="00F476CC">
        <w:trPr>
          <w:trHeight w:val="260"/>
        </w:trPr>
        <w:tc>
          <w:tcPr>
            <w:tcW w:w="646" w:type="dxa"/>
            <w:vAlign w:val="center"/>
          </w:tcPr>
          <w:p w14:paraId="74D11EC1" w14:textId="34DD8761" w:rsidR="00F87520" w:rsidRDefault="00F87520" w:rsidP="00FD431A">
            <w:pPr>
              <w:jc w:val="center"/>
              <w:rPr>
                <w:rFonts w:cs="Arial"/>
                <w:sz w:val="20"/>
                <w:lang w:eastAsia="zh-CN"/>
              </w:rPr>
            </w:pPr>
            <w:r>
              <w:rPr>
                <w:rFonts w:cs="Arial"/>
                <w:sz w:val="20"/>
                <w:lang w:eastAsia="zh-CN"/>
              </w:rPr>
              <w:t>3</w:t>
            </w:r>
          </w:p>
        </w:tc>
        <w:tc>
          <w:tcPr>
            <w:tcW w:w="5808" w:type="dxa"/>
            <w:vAlign w:val="center"/>
          </w:tcPr>
          <w:p w14:paraId="1595BA0B" w14:textId="176C3162" w:rsidR="00F87520" w:rsidRDefault="00917568" w:rsidP="00952EAE">
            <w:pPr>
              <w:rPr>
                <w:rFonts w:cs="Arial"/>
                <w:sz w:val="20"/>
                <w:lang w:eastAsia="zh-CN"/>
              </w:rPr>
            </w:pPr>
            <w:r>
              <w:rPr>
                <w:rFonts w:cs="Arial"/>
                <w:sz w:val="20"/>
                <w:lang w:eastAsia="zh-CN"/>
              </w:rPr>
              <w:t>Any prior complaint received</w:t>
            </w:r>
          </w:p>
        </w:tc>
        <w:tc>
          <w:tcPr>
            <w:tcW w:w="4003" w:type="dxa"/>
            <w:vAlign w:val="center"/>
          </w:tcPr>
          <w:p w14:paraId="2C0EE913" w14:textId="6281A0C7" w:rsidR="00F87520" w:rsidRDefault="00F87520" w:rsidP="00F87520">
            <w:pPr>
              <w:rPr>
                <w:rFonts w:cs="Arial"/>
                <w:sz w:val="20"/>
                <w:lang w:eastAsia="zh-CN"/>
              </w:rPr>
            </w:pPr>
          </w:p>
        </w:tc>
      </w:tr>
      <w:tr w:rsidR="00F87520" w14:paraId="56DB21CE" w14:textId="77777777" w:rsidTr="00F476CC">
        <w:trPr>
          <w:trHeight w:val="260"/>
        </w:trPr>
        <w:tc>
          <w:tcPr>
            <w:tcW w:w="646" w:type="dxa"/>
            <w:vAlign w:val="center"/>
          </w:tcPr>
          <w:p w14:paraId="192E71AD" w14:textId="2FACC0D7" w:rsidR="00F87520" w:rsidRDefault="00F87520" w:rsidP="00FD431A">
            <w:pPr>
              <w:jc w:val="center"/>
              <w:rPr>
                <w:rFonts w:cs="Arial"/>
                <w:sz w:val="20"/>
                <w:lang w:eastAsia="zh-CN"/>
              </w:rPr>
            </w:pPr>
            <w:r>
              <w:rPr>
                <w:rFonts w:cs="Arial"/>
                <w:sz w:val="20"/>
                <w:lang w:eastAsia="zh-CN"/>
              </w:rPr>
              <w:t>4</w:t>
            </w:r>
          </w:p>
        </w:tc>
        <w:tc>
          <w:tcPr>
            <w:tcW w:w="5808" w:type="dxa"/>
            <w:vAlign w:val="center"/>
          </w:tcPr>
          <w:p w14:paraId="25CBC8E6" w14:textId="4617BAF5" w:rsidR="00F87520" w:rsidRDefault="00917568" w:rsidP="00952EAE">
            <w:pPr>
              <w:rPr>
                <w:rFonts w:cs="Arial"/>
                <w:sz w:val="20"/>
                <w:lang w:eastAsia="zh-CN"/>
              </w:rPr>
            </w:pPr>
            <w:r>
              <w:rPr>
                <w:rFonts w:cs="Arial"/>
                <w:sz w:val="20"/>
                <w:lang w:eastAsia="zh-CN"/>
              </w:rPr>
              <w:t>Relevant outputs from the Self-Assessment</w:t>
            </w:r>
          </w:p>
        </w:tc>
        <w:tc>
          <w:tcPr>
            <w:tcW w:w="4003" w:type="dxa"/>
            <w:vAlign w:val="center"/>
          </w:tcPr>
          <w:p w14:paraId="15E6EB3C" w14:textId="5074C5A0" w:rsidR="00F87520" w:rsidRDefault="00F87520" w:rsidP="00F87520">
            <w:pPr>
              <w:rPr>
                <w:rFonts w:cs="Arial"/>
                <w:sz w:val="20"/>
                <w:lang w:eastAsia="zh-CN"/>
              </w:rPr>
            </w:pPr>
          </w:p>
        </w:tc>
      </w:tr>
      <w:tr w:rsidR="00F87520" w14:paraId="2FED8A55" w14:textId="77777777" w:rsidTr="00F476CC">
        <w:trPr>
          <w:trHeight w:val="260"/>
        </w:trPr>
        <w:tc>
          <w:tcPr>
            <w:tcW w:w="646" w:type="dxa"/>
            <w:vAlign w:val="center"/>
          </w:tcPr>
          <w:p w14:paraId="5F620FC9" w14:textId="46E0A9F5" w:rsidR="00F87520" w:rsidRDefault="00F87520" w:rsidP="00FD431A">
            <w:pPr>
              <w:jc w:val="center"/>
              <w:rPr>
                <w:rFonts w:cs="Arial"/>
                <w:sz w:val="20"/>
                <w:lang w:eastAsia="zh-CN"/>
              </w:rPr>
            </w:pPr>
            <w:r>
              <w:rPr>
                <w:rFonts w:cs="Arial"/>
                <w:sz w:val="20"/>
                <w:lang w:eastAsia="zh-CN"/>
              </w:rPr>
              <w:t>5</w:t>
            </w:r>
          </w:p>
        </w:tc>
        <w:tc>
          <w:tcPr>
            <w:tcW w:w="5808" w:type="dxa"/>
            <w:vAlign w:val="center"/>
          </w:tcPr>
          <w:p w14:paraId="500472E7" w14:textId="1ED0EF30" w:rsidR="00F87520" w:rsidRDefault="00917568" w:rsidP="00952EAE">
            <w:pPr>
              <w:rPr>
                <w:rFonts w:cs="Arial"/>
                <w:sz w:val="20"/>
                <w:lang w:eastAsia="zh-CN"/>
              </w:rPr>
            </w:pPr>
            <w:r>
              <w:rPr>
                <w:rFonts w:cs="Arial"/>
                <w:sz w:val="20"/>
                <w:lang w:eastAsia="zh-CN"/>
              </w:rPr>
              <w:t>Names of subcontractors (where applicable)</w:t>
            </w:r>
          </w:p>
        </w:tc>
        <w:tc>
          <w:tcPr>
            <w:tcW w:w="4003" w:type="dxa"/>
            <w:vAlign w:val="center"/>
          </w:tcPr>
          <w:p w14:paraId="55B8DC70" w14:textId="2ACE6604" w:rsidR="00F87520" w:rsidRDefault="00F87520" w:rsidP="00F87520">
            <w:pPr>
              <w:rPr>
                <w:rFonts w:cs="Arial"/>
                <w:sz w:val="20"/>
                <w:lang w:eastAsia="zh-CN"/>
              </w:rPr>
            </w:pPr>
          </w:p>
        </w:tc>
      </w:tr>
      <w:tr w:rsidR="00F87520" w14:paraId="4174C5B4" w14:textId="77777777" w:rsidTr="00F476CC">
        <w:trPr>
          <w:trHeight w:val="260"/>
        </w:trPr>
        <w:tc>
          <w:tcPr>
            <w:tcW w:w="646" w:type="dxa"/>
            <w:vAlign w:val="center"/>
          </w:tcPr>
          <w:p w14:paraId="6E55B425" w14:textId="37D1643B" w:rsidR="00F87520" w:rsidRDefault="00F87520" w:rsidP="00FD431A">
            <w:pPr>
              <w:jc w:val="center"/>
              <w:rPr>
                <w:rFonts w:cs="Arial"/>
                <w:sz w:val="20"/>
                <w:lang w:eastAsia="zh-CN"/>
              </w:rPr>
            </w:pPr>
            <w:r>
              <w:rPr>
                <w:rFonts w:cs="Arial"/>
                <w:sz w:val="20"/>
                <w:lang w:eastAsia="zh-CN"/>
              </w:rPr>
              <w:t>6</w:t>
            </w:r>
          </w:p>
        </w:tc>
        <w:tc>
          <w:tcPr>
            <w:tcW w:w="5808" w:type="dxa"/>
            <w:vAlign w:val="center"/>
          </w:tcPr>
          <w:p w14:paraId="68ECF2CA" w14:textId="3AD648B9" w:rsidR="00F87520" w:rsidRDefault="00EE4B17" w:rsidP="00952EAE">
            <w:pPr>
              <w:rPr>
                <w:rFonts w:cs="Arial"/>
                <w:sz w:val="20"/>
                <w:lang w:eastAsia="zh-CN"/>
              </w:rPr>
            </w:pPr>
            <w:r>
              <w:rPr>
                <w:rFonts w:cs="Arial"/>
                <w:sz w:val="20"/>
                <w:lang w:eastAsia="zh-CN"/>
              </w:rPr>
              <w:t xml:space="preserve">Better Cotton CoC </w:t>
            </w:r>
            <w:r w:rsidR="006717D2">
              <w:rPr>
                <w:rFonts w:cs="Arial"/>
                <w:sz w:val="20"/>
                <w:lang w:eastAsia="zh-CN"/>
              </w:rPr>
              <w:t>Management Plan</w:t>
            </w:r>
            <w:r>
              <w:rPr>
                <w:rFonts w:cs="Arial"/>
                <w:sz w:val="20"/>
                <w:lang w:eastAsia="zh-CN"/>
              </w:rPr>
              <w:t xml:space="preserve"> / Production Manual</w:t>
            </w:r>
          </w:p>
        </w:tc>
        <w:tc>
          <w:tcPr>
            <w:tcW w:w="4003" w:type="dxa"/>
            <w:vAlign w:val="center"/>
          </w:tcPr>
          <w:p w14:paraId="652B1941" w14:textId="4B2C6797" w:rsidR="00F87520" w:rsidRDefault="00F87520" w:rsidP="00F87520">
            <w:pPr>
              <w:rPr>
                <w:rFonts w:cs="Arial"/>
                <w:sz w:val="20"/>
                <w:lang w:eastAsia="zh-CN"/>
              </w:rPr>
            </w:pPr>
          </w:p>
        </w:tc>
      </w:tr>
      <w:tr w:rsidR="00F87520" w14:paraId="5A4EC136" w14:textId="77777777" w:rsidTr="00F476CC">
        <w:trPr>
          <w:trHeight w:val="251"/>
        </w:trPr>
        <w:tc>
          <w:tcPr>
            <w:tcW w:w="646" w:type="dxa"/>
            <w:vAlign w:val="center"/>
          </w:tcPr>
          <w:p w14:paraId="57C91ECC" w14:textId="1A570F5C" w:rsidR="00F87520" w:rsidRDefault="00F87520" w:rsidP="00FD431A">
            <w:pPr>
              <w:jc w:val="center"/>
              <w:rPr>
                <w:rFonts w:cs="Arial"/>
                <w:sz w:val="20"/>
                <w:lang w:eastAsia="zh-CN"/>
              </w:rPr>
            </w:pPr>
            <w:r>
              <w:rPr>
                <w:rFonts w:cs="Arial"/>
                <w:sz w:val="20"/>
                <w:lang w:eastAsia="zh-CN"/>
              </w:rPr>
              <w:t>7</w:t>
            </w:r>
          </w:p>
        </w:tc>
        <w:tc>
          <w:tcPr>
            <w:tcW w:w="5808" w:type="dxa"/>
            <w:vAlign w:val="center"/>
          </w:tcPr>
          <w:p w14:paraId="59AF4CC7" w14:textId="3F9AD87D" w:rsidR="00F87520" w:rsidRDefault="006717D2" w:rsidP="00952EAE">
            <w:pPr>
              <w:rPr>
                <w:rFonts w:cs="Arial"/>
                <w:sz w:val="20"/>
                <w:lang w:eastAsia="zh-CN"/>
              </w:rPr>
            </w:pPr>
            <w:r>
              <w:rPr>
                <w:rFonts w:cs="Arial"/>
                <w:sz w:val="20"/>
                <w:lang w:eastAsia="zh-CN"/>
              </w:rPr>
              <w:t>Processing records including conversion rate</w:t>
            </w:r>
          </w:p>
        </w:tc>
        <w:tc>
          <w:tcPr>
            <w:tcW w:w="4003" w:type="dxa"/>
            <w:vAlign w:val="center"/>
          </w:tcPr>
          <w:p w14:paraId="352151E0" w14:textId="018EF848" w:rsidR="00F87520" w:rsidRDefault="00F87520" w:rsidP="00F87520">
            <w:pPr>
              <w:rPr>
                <w:rFonts w:cs="Arial"/>
                <w:sz w:val="20"/>
                <w:lang w:eastAsia="zh-CN"/>
              </w:rPr>
            </w:pPr>
          </w:p>
        </w:tc>
      </w:tr>
      <w:tr w:rsidR="00E37DD6" w14:paraId="1CBCB5F1" w14:textId="77777777" w:rsidTr="006717D2">
        <w:trPr>
          <w:trHeight w:val="432"/>
        </w:trPr>
        <w:tc>
          <w:tcPr>
            <w:tcW w:w="646" w:type="dxa"/>
            <w:vAlign w:val="center"/>
          </w:tcPr>
          <w:p w14:paraId="04ED1C31" w14:textId="0E9CB073" w:rsidR="00E37DD6" w:rsidRDefault="00E37DD6" w:rsidP="00FD431A">
            <w:pPr>
              <w:jc w:val="center"/>
              <w:rPr>
                <w:rFonts w:cs="Arial"/>
                <w:sz w:val="20"/>
                <w:lang w:eastAsia="zh-CN"/>
              </w:rPr>
            </w:pPr>
            <w:r>
              <w:rPr>
                <w:rFonts w:cs="Arial"/>
                <w:sz w:val="20"/>
                <w:lang w:eastAsia="zh-CN"/>
              </w:rPr>
              <w:t>8</w:t>
            </w:r>
          </w:p>
        </w:tc>
        <w:tc>
          <w:tcPr>
            <w:tcW w:w="5808" w:type="dxa"/>
            <w:vAlign w:val="center"/>
          </w:tcPr>
          <w:p w14:paraId="175F28AB" w14:textId="4E9F4213" w:rsidR="00E37DD6" w:rsidRDefault="006717D2" w:rsidP="00952EAE">
            <w:pPr>
              <w:rPr>
                <w:rFonts w:cs="Arial"/>
                <w:sz w:val="20"/>
                <w:lang w:eastAsia="zh-CN"/>
              </w:rPr>
            </w:pPr>
            <w:r>
              <w:rPr>
                <w:rFonts w:cs="Arial"/>
                <w:sz w:val="20"/>
                <w:lang w:eastAsia="zh-CN"/>
              </w:rPr>
              <w:t>Traceability, purchase/sales procedures, and purchase/sales record</w:t>
            </w:r>
          </w:p>
        </w:tc>
        <w:tc>
          <w:tcPr>
            <w:tcW w:w="4003" w:type="dxa"/>
            <w:vAlign w:val="center"/>
          </w:tcPr>
          <w:p w14:paraId="38A7E9AF" w14:textId="64D78F43" w:rsidR="00E37DD6" w:rsidRDefault="00E37DD6" w:rsidP="00F87520">
            <w:pPr>
              <w:rPr>
                <w:rFonts w:cs="Arial"/>
                <w:sz w:val="20"/>
                <w:lang w:eastAsia="zh-CN"/>
              </w:rPr>
            </w:pPr>
          </w:p>
        </w:tc>
      </w:tr>
      <w:tr w:rsidR="00B152BC" w14:paraId="4B4DB97E" w14:textId="77777777" w:rsidTr="00EE4B17">
        <w:trPr>
          <w:trHeight w:val="432"/>
        </w:trPr>
        <w:tc>
          <w:tcPr>
            <w:tcW w:w="646" w:type="dxa"/>
            <w:vAlign w:val="center"/>
          </w:tcPr>
          <w:p w14:paraId="09C9820E" w14:textId="4EB6B26F" w:rsidR="00B152BC" w:rsidRPr="009972A0" w:rsidRDefault="006717D2" w:rsidP="00FD431A">
            <w:pPr>
              <w:jc w:val="center"/>
              <w:rPr>
                <w:rFonts w:cs="Arial"/>
                <w:sz w:val="20"/>
                <w:lang w:eastAsia="zh-CN"/>
              </w:rPr>
            </w:pPr>
            <w:r>
              <w:rPr>
                <w:rFonts w:cs="Arial"/>
                <w:sz w:val="20"/>
                <w:lang w:eastAsia="zh-CN"/>
              </w:rPr>
              <w:t>9</w:t>
            </w:r>
          </w:p>
        </w:tc>
        <w:tc>
          <w:tcPr>
            <w:tcW w:w="5808" w:type="dxa"/>
          </w:tcPr>
          <w:p w14:paraId="128EFD46" w14:textId="5ABA8F3B" w:rsidR="00B152BC" w:rsidRPr="009972A0" w:rsidRDefault="00EE4B17" w:rsidP="00952EAE">
            <w:pPr>
              <w:rPr>
                <w:rFonts w:cs="Arial"/>
                <w:sz w:val="20"/>
                <w:lang w:eastAsia="zh-CN"/>
              </w:rPr>
            </w:pPr>
            <w:r>
              <w:rPr>
                <w:rFonts w:cs="Arial"/>
                <w:sz w:val="20"/>
                <w:lang w:eastAsia="zh-CN"/>
              </w:rPr>
              <w:t xml:space="preserve">Mass Balance Sheet / </w:t>
            </w:r>
            <w:r w:rsidR="006717D2">
              <w:rPr>
                <w:rFonts w:cs="Arial"/>
                <w:sz w:val="20"/>
                <w:lang w:eastAsia="zh-CN"/>
              </w:rPr>
              <w:t>Volume reconciliation records</w:t>
            </w:r>
            <w:r w:rsidR="005F3707">
              <w:rPr>
                <w:rFonts w:cs="Arial"/>
                <w:sz w:val="20"/>
                <w:lang w:eastAsia="zh-CN"/>
              </w:rPr>
              <w:t xml:space="preserve"> </w:t>
            </w:r>
          </w:p>
        </w:tc>
        <w:tc>
          <w:tcPr>
            <w:tcW w:w="4003" w:type="dxa"/>
            <w:vAlign w:val="center"/>
          </w:tcPr>
          <w:p w14:paraId="12972406" w14:textId="6908CE5C" w:rsidR="00B152BC" w:rsidRPr="009972A0" w:rsidRDefault="005F3707" w:rsidP="00952EAE">
            <w:pPr>
              <w:rPr>
                <w:rFonts w:cs="Arial"/>
                <w:sz w:val="20"/>
                <w:lang w:eastAsia="zh-CN"/>
              </w:rPr>
            </w:pPr>
            <w:r>
              <w:rPr>
                <w:rFonts w:cs="Arial"/>
                <w:sz w:val="20"/>
                <w:lang w:eastAsia="zh-CN"/>
              </w:rPr>
              <w:t xml:space="preserve">Invoices, purchase orders, inventory reports, bill of lading, processing records/production logs, shipping documents, sales contract, annual volume summary reports, </w:t>
            </w:r>
          </w:p>
        </w:tc>
      </w:tr>
      <w:tr w:rsidR="00B152BC" w14:paraId="117256D1" w14:textId="77777777" w:rsidTr="006717D2">
        <w:trPr>
          <w:trHeight w:val="432"/>
        </w:trPr>
        <w:tc>
          <w:tcPr>
            <w:tcW w:w="646" w:type="dxa"/>
            <w:vAlign w:val="center"/>
          </w:tcPr>
          <w:p w14:paraId="3C12FBDF" w14:textId="3CC3A549" w:rsidR="00B152BC" w:rsidRPr="009972A0" w:rsidRDefault="006717D2" w:rsidP="00FD431A">
            <w:pPr>
              <w:jc w:val="center"/>
              <w:rPr>
                <w:rFonts w:cs="Arial"/>
                <w:sz w:val="20"/>
                <w:lang w:eastAsia="zh-CN"/>
              </w:rPr>
            </w:pPr>
            <w:r>
              <w:rPr>
                <w:rFonts w:cs="Arial"/>
                <w:sz w:val="20"/>
                <w:lang w:eastAsia="zh-CN"/>
              </w:rPr>
              <w:t>10</w:t>
            </w:r>
          </w:p>
        </w:tc>
        <w:tc>
          <w:tcPr>
            <w:tcW w:w="5808" w:type="dxa"/>
            <w:vAlign w:val="center"/>
          </w:tcPr>
          <w:p w14:paraId="3F556A69" w14:textId="1E3234B6" w:rsidR="00B152BC" w:rsidRPr="009972A0" w:rsidRDefault="006717D2" w:rsidP="00952EAE">
            <w:pPr>
              <w:rPr>
                <w:rFonts w:cs="Arial"/>
                <w:sz w:val="20"/>
                <w:lang w:eastAsia="zh-CN"/>
              </w:rPr>
            </w:pPr>
            <w:r>
              <w:rPr>
                <w:rFonts w:cs="Arial"/>
                <w:sz w:val="20"/>
                <w:lang w:eastAsia="zh-CN"/>
              </w:rPr>
              <w:t>Contracts with subcontractors and details of the subcontracting activities (if applicable)</w:t>
            </w:r>
          </w:p>
        </w:tc>
        <w:tc>
          <w:tcPr>
            <w:tcW w:w="4003" w:type="dxa"/>
            <w:vAlign w:val="center"/>
          </w:tcPr>
          <w:p w14:paraId="4AE01429" w14:textId="77777777" w:rsidR="00B152BC" w:rsidRPr="009972A0" w:rsidRDefault="00B152BC" w:rsidP="00952EAE">
            <w:pPr>
              <w:rPr>
                <w:rFonts w:cs="Arial"/>
                <w:sz w:val="20"/>
                <w:lang w:eastAsia="zh-CN"/>
              </w:rPr>
            </w:pPr>
          </w:p>
        </w:tc>
      </w:tr>
      <w:tr w:rsidR="009135EE" w14:paraId="0A6FDB24" w14:textId="77777777" w:rsidTr="00F476CC">
        <w:trPr>
          <w:trHeight w:val="260"/>
        </w:trPr>
        <w:tc>
          <w:tcPr>
            <w:tcW w:w="646" w:type="dxa"/>
            <w:vAlign w:val="center"/>
          </w:tcPr>
          <w:p w14:paraId="08B8ABC9" w14:textId="5E29ED6D" w:rsidR="009135EE" w:rsidRPr="009972A0" w:rsidRDefault="005F3707" w:rsidP="00FD431A">
            <w:pPr>
              <w:jc w:val="center"/>
              <w:rPr>
                <w:rFonts w:cs="Arial"/>
                <w:sz w:val="20"/>
                <w:lang w:eastAsia="zh-CN"/>
              </w:rPr>
            </w:pPr>
            <w:r>
              <w:rPr>
                <w:rFonts w:cs="Arial"/>
                <w:sz w:val="20"/>
                <w:lang w:eastAsia="zh-CN"/>
              </w:rPr>
              <w:t>1</w:t>
            </w:r>
            <w:r w:rsidR="002F2794">
              <w:rPr>
                <w:rFonts w:cs="Arial"/>
                <w:sz w:val="20"/>
                <w:lang w:eastAsia="zh-CN"/>
              </w:rPr>
              <w:t>1</w:t>
            </w:r>
          </w:p>
        </w:tc>
        <w:tc>
          <w:tcPr>
            <w:tcW w:w="5808" w:type="dxa"/>
            <w:vAlign w:val="center"/>
          </w:tcPr>
          <w:p w14:paraId="2FA2F11F" w14:textId="2BE88BFB" w:rsidR="009135EE" w:rsidRPr="009972A0" w:rsidRDefault="005F3707" w:rsidP="00952EAE">
            <w:pPr>
              <w:rPr>
                <w:rFonts w:cs="Arial"/>
                <w:sz w:val="20"/>
                <w:lang w:eastAsia="zh-CN"/>
              </w:rPr>
            </w:pPr>
            <w:r>
              <w:rPr>
                <w:rFonts w:cs="Arial"/>
                <w:sz w:val="20"/>
                <w:lang w:eastAsia="zh-CN"/>
              </w:rPr>
              <w:t>Floor Layout</w:t>
            </w:r>
          </w:p>
        </w:tc>
        <w:tc>
          <w:tcPr>
            <w:tcW w:w="4003" w:type="dxa"/>
            <w:vAlign w:val="center"/>
          </w:tcPr>
          <w:p w14:paraId="19090775" w14:textId="77777777" w:rsidR="009135EE" w:rsidRPr="009972A0" w:rsidRDefault="009135EE" w:rsidP="00952EAE">
            <w:pPr>
              <w:rPr>
                <w:rFonts w:cs="Arial"/>
                <w:sz w:val="20"/>
                <w:lang w:eastAsia="zh-CN"/>
              </w:rPr>
            </w:pPr>
          </w:p>
        </w:tc>
      </w:tr>
      <w:tr w:rsidR="009135EE" w14:paraId="3CBAB01D" w14:textId="77777777" w:rsidTr="00F476CC">
        <w:trPr>
          <w:trHeight w:val="260"/>
        </w:trPr>
        <w:tc>
          <w:tcPr>
            <w:tcW w:w="646" w:type="dxa"/>
            <w:vAlign w:val="center"/>
          </w:tcPr>
          <w:p w14:paraId="7A871B42" w14:textId="020E25E9" w:rsidR="009135EE" w:rsidRPr="009972A0" w:rsidRDefault="00EE4B17" w:rsidP="00FD431A">
            <w:pPr>
              <w:jc w:val="center"/>
              <w:rPr>
                <w:rFonts w:cs="Arial"/>
                <w:sz w:val="20"/>
                <w:lang w:eastAsia="zh-CN"/>
              </w:rPr>
            </w:pPr>
            <w:r>
              <w:rPr>
                <w:rFonts w:cs="Arial"/>
                <w:sz w:val="20"/>
                <w:lang w:eastAsia="zh-CN"/>
              </w:rPr>
              <w:t>1</w:t>
            </w:r>
            <w:r w:rsidR="002F2794">
              <w:rPr>
                <w:rFonts w:cs="Arial"/>
                <w:sz w:val="20"/>
                <w:lang w:eastAsia="zh-CN"/>
              </w:rPr>
              <w:t>2</w:t>
            </w:r>
          </w:p>
        </w:tc>
        <w:tc>
          <w:tcPr>
            <w:tcW w:w="5808" w:type="dxa"/>
            <w:vAlign w:val="center"/>
          </w:tcPr>
          <w:p w14:paraId="2C2DB461" w14:textId="76448B0D" w:rsidR="009135EE" w:rsidRPr="009972A0" w:rsidRDefault="00EE4B17" w:rsidP="00952EAE">
            <w:pPr>
              <w:rPr>
                <w:rFonts w:cs="Arial"/>
                <w:sz w:val="20"/>
                <w:lang w:eastAsia="zh-CN"/>
              </w:rPr>
            </w:pPr>
            <w:r>
              <w:rPr>
                <w:rFonts w:cs="Arial"/>
                <w:sz w:val="20"/>
                <w:lang w:eastAsia="zh-CN"/>
              </w:rPr>
              <w:t>Better Cotton CoC Material / Process Flow Chart</w:t>
            </w:r>
          </w:p>
        </w:tc>
        <w:tc>
          <w:tcPr>
            <w:tcW w:w="4003" w:type="dxa"/>
            <w:vAlign w:val="center"/>
          </w:tcPr>
          <w:p w14:paraId="706DBB63" w14:textId="77777777" w:rsidR="009135EE" w:rsidRPr="009972A0" w:rsidRDefault="009135EE" w:rsidP="00952EAE">
            <w:pPr>
              <w:rPr>
                <w:rFonts w:cs="Arial"/>
                <w:sz w:val="20"/>
                <w:lang w:eastAsia="zh-CN"/>
              </w:rPr>
            </w:pPr>
          </w:p>
        </w:tc>
      </w:tr>
      <w:tr w:rsidR="003D4085" w14:paraId="3C83FBD3" w14:textId="77777777" w:rsidTr="00F476CC">
        <w:trPr>
          <w:trHeight w:val="260"/>
        </w:trPr>
        <w:tc>
          <w:tcPr>
            <w:tcW w:w="646" w:type="dxa"/>
            <w:vAlign w:val="center"/>
          </w:tcPr>
          <w:p w14:paraId="3E3CFA13" w14:textId="38491266" w:rsidR="003D4085" w:rsidRPr="009972A0" w:rsidRDefault="00EF523A" w:rsidP="003D4085">
            <w:pPr>
              <w:jc w:val="center"/>
              <w:rPr>
                <w:rFonts w:cs="Arial"/>
                <w:sz w:val="20"/>
                <w:lang w:eastAsia="zh-CN"/>
              </w:rPr>
            </w:pPr>
            <w:r>
              <w:rPr>
                <w:rFonts w:cs="Arial"/>
                <w:sz w:val="20"/>
                <w:lang w:eastAsia="zh-CN"/>
              </w:rPr>
              <w:t>1</w:t>
            </w:r>
            <w:r w:rsidR="002F2794">
              <w:rPr>
                <w:rFonts w:cs="Arial"/>
                <w:sz w:val="20"/>
                <w:lang w:eastAsia="zh-CN"/>
              </w:rPr>
              <w:t>3</w:t>
            </w:r>
          </w:p>
        </w:tc>
        <w:tc>
          <w:tcPr>
            <w:tcW w:w="5808" w:type="dxa"/>
            <w:vAlign w:val="center"/>
          </w:tcPr>
          <w:p w14:paraId="445271B6" w14:textId="60568632" w:rsidR="003D4085" w:rsidRPr="009972A0" w:rsidRDefault="00EF523A" w:rsidP="003D4085">
            <w:pPr>
              <w:rPr>
                <w:rFonts w:cs="Arial"/>
                <w:sz w:val="20"/>
                <w:shd w:val="clear" w:color="auto" w:fill="FFFFFF"/>
              </w:rPr>
            </w:pPr>
            <w:r>
              <w:rPr>
                <w:rFonts w:cs="Arial"/>
                <w:sz w:val="20"/>
                <w:shd w:val="clear" w:color="auto" w:fill="FFFFFF"/>
              </w:rPr>
              <w:t>Competence of the staff and temporary workers.</w:t>
            </w:r>
          </w:p>
        </w:tc>
        <w:tc>
          <w:tcPr>
            <w:tcW w:w="4003" w:type="dxa"/>
            <w:vAlign w:val="center"/>
          </w:tcPr>
          <w:p w14:paraId="29E11F8C" w14:textId="291649DA" w:rsidR="003D4085" w:rsidRPr="009972A0" w:rsidRDefault="003D4085" w:rsidP="003D4085">
            <w:pPr>
              <w:rPr>
                <w:rFonts w:cs="Arial"/>
                <w:sz w:val="20"/>
                <w:lang w:eastAsia="zh-CN"/>
              </w:rPr>
            </w:pPr>
          </w:p>
        </w:tc>
      </w:tr>
      <w:tr w:rsidR="002F2794" w14:paraId="32A36636" w14:textId="77777777" w:rsidTr="00FB598F">
        <w:trPr>
          <w:trHeight w:val="233"/>
        </w:trPr>
        <w:tc>
          <w:tcPr>
            <w:tcW w:w="646" w:type="dxa"/>
            <w:vAlign w:val="center"/>
          </w:tcPr>
          <w:p w14:paraId="6371C224" w14:textId="33561C47" w:rsidR="002F2794" w:rsidRPr="009972A0" w:rsidRDefault="002F2794" w:rsidP="00FB598F">
            <w:pPr>
              <w:jc w:val="center"/>
              <w:rPr>
                <w:rFonts w:cs="Arial"/>
                <w:sz w:val="20"/>
                <w:lang w:eastAsia="zh-CN"/>
              </w:rPr>
            </w:pPr>
            <w:r>
              <w:rPr>
                <w:rFonts w:cs="Arial"/>
                <w:sz w:val="20"/>
                <w:lang w:eastAsia="zh-CN"/>
              </w:rPr>
              <w:t>14</w:t>
            </w:r>
          </w:p>
        </w:tc>
        <w:tc>
          <w:tcPr>
            <w:tcW w:w="5808" w:type="dxa"/>
            <w:vAlign w:val="center"/>
          </w:tcPr>
          <w:p w14:paraId="1E31CD9A" w14:textId="77777777" w:rsidR="002F2794" w:rsidRPr="009972A0" w:rsidRDefault="002F2794" w:rsidP="00FB598F">
            <w:pPr>
              <w:rPr>
                <w:rFonts w:cs="Arial"/>
                <w:sz w:val="20"/>
                <w:lang w:eastAsia="zh-CN"/>
              </w:rPr>
            </w:pPr>
            <w:r>
              <w:rPr>
                <w:rFonts w:cs="Arial"/>
                <w:sz w:val="20"/>
                <w:lang w:eastAsia="zh-CN"/>
              </w:rPr>
              <w:t>For ginner only: gin agreement</w:t>
            </w:r>
          </w:p>
        </w:tc>
        <w:tc>
          <w:tcPr>
            <w:tcW w:w="4003" w:type="dxa"/>
            <w:vAlign w:val="center"/>
          </w:tcPr>
          <w:p w14:paraId="77A93D59" w14:textId="77777777" w:rsidR="002F2794" w:rsidRPr="009972A0" w:rsidRDefault="002F2794" w:rsidP="00FB598F">
            <w:pPr>
              <w:rPr>
                <w:rFonts w:cs="Arial"/>
                <w:sz w:val="20"/>
                <w:lang w:eastAsia="zh-CN"/>
              </w:rPr>
            </w:pPr>
          </w:p>
        </w:tc>
      </w:tr>
      <w:tr w:rsidR="002F2794" w14:paraId="3E6B96BE" w14:textId="77777777" w:rsidTr="00F476CC">
        <w:trPr>
          <w:trHeight w:val="260"/>
        </w:trPr>
        <w:tc>
          <w:tcPr>
            <w:tcW w:w="646" w:type="dxa"/>
            <w:vAlign w:val="center"/>
          </w:tcPr>
          <w:p w14:paraId="2644D294" w14:textId="77777777" w:rsidR="002F2794" w:rsidRDefault="002F2794" w:rsidP="003D4085">
            <w:pPr>
              <w:jc w:val="center"/>
              <w:rPr>
                <w:rFonts w:cs="Arial"/>
                <w:sz w:val="20"/>
                <w:lang w:eastAsia="zh-CN"/>
              </w:rPr>
            </w:pPr>
          </w:p>
        </w:tc>
        <w:tc>
          <w:tcPr>
            <w:tcW w:w="5808" w:type="dxa"/>
            <w:vAlign w:val="center"/>
          </w:tcPr>
          <w:p w14:paraId="394F4AA3" w14:textId="77777777" w:rsidR="002F2794" w:rsidRDefault="002F2794" w:rsidP="003D4085">
            <w:pPr>
              <w:rPr>
                <w:rFonts w:cs="Arial"/>
                <w:sz w:val="20"/>
                <w:shd w:val="clear" w:color="auto" w:fill="FFFFFF"/>
              </w:rPr>
            </w:pPr>
          </w:p>
        </w:tc>
        <w:tc>
          <w:tcPr>
            <w:tcW w:w="4003" w:type="dxa"/>
            <w:vAlign w:val="center"/>
          </w:tcPr>
          <w:p w14:paraId="31EF2502" w14:textId="77777777" w:rsidR="002F2794" w:rsidRPr="009972A0" w:rsidRDefault="002F2794" w:rsidP="003D4085">
            <w:pPr>
              <w:rPr>
                <w:rFonts w:cs="Arial"/>
                <w:sz w:val="20"/>
                <w:lang w:eastAsia="zh-CN"/>
              </w:rPr>
            </w:pPr>
          </w:p>
        </w:tc>
      </w:tr>
    </w:tbl>
    <w:p w14:paraId="19AA3956" w14:textId="6EE6EDF2" w:rsidR="00784C48" w:rsidRDefault="00784C48" w:rsidP="001F17BB">
      <w:pPr>
        <w:rPr>
          <w:rFonts w:cs="Arial"/>
          <w:lang w:eastAsia="zh-CN"/>
        </w:rPr>
      </w:pPr>
    </w:p>
    <w:p w14:paraId="5F57D491" w14:textId="04516D88" w:rsidR="00363A92" w:rsidRDefault="00363A92">
      <w:pPr>
        <w:rPr>
          <w:rFonts w:asciiTheme="majorHAnsi" w:eastAsiaTheme="majorEastAsia" w:hAnsiTheme="majorHAnsi" w:cstheme="majorBidi"/>
          <w:color w:val="365F91" w:themeColor="accent1" w:themeShade="BF"/>
          <w:sz w:val="32"/>
          <w:szCs w:val="32"/>
          <w:lang w:eastAsia="zh-CN"/>
        </w:rPr>
      </w:pPr>
    </w:p>
    <w:p w14:paraId="3397C821" w14:textId="77777777" w:rsidR="002F2794" w:rsidRDefault="002F2794">
      <w:pPr>
        <w:rPr>
          <w:rFonts w:asciiTheme="majorHAnsi" w:eastAsiaTheme="majorEastAsia" w:hAnsiTheme="majorHAnsi" w:cstheme="majorBidi"/>
          <w:color w:val="365F91" w:themeColor="accent1" w:themeShade="BF"/>
          <w:sz w:val="32"/>
          <w:szCs w:val="32"/>
          <w:lang w:eastAsia="zh-CN"/>
        </w:rPr>
      </w:pPr>
      <w:r>
        <w:rPr>
          <w:lang w:eastAsia="zh-CN"/>
        </w:rPr>
        <w:br w:type="page"/>
      </w:r>
    </w:p>
    <w:p w14:paraId="3E1B6822" w14:textId="42EF756B" w:rsidR="00A14715" w:rsidRPr="00A14715" w:rsidRDefault="000C3BF0" w:rsidP="00F03E12">
      <w:pPr>
        <w:pStyle w:val="Heading1"/>
        <w:numPr>
          <w:ilvl w:val="0"/>
          <w:numId w:val="35"/>
        </w:numPr>
        <w:rPr>
          <w:lang w:eastAsia="zh-CN"/>
        </w:rPr>
      </w:pPr>
      <w:bookmarkStart w:id="22" w:name="_Toc158293489"/>
      <w:bookmarkStart w:id="23" w:name="_Toc158626692"/>
      <w:r>
        <w:rPr>
          <w:lang w:eastAsia="zh-CN"/>
        </w:rPr>
        <w:lastRenderedPageBreak/>
        <w:t>Better Cotton CoC</w:t>
      </w:r>
      <w:r w:rsidR="002529A4">
        <w:rPr>
          <w:lang w:eastAsia="zh-CN"/>
        </w:rPr>
        <w:t xml:space="preserve"> </w:t>
      </w:r>
      <w:r w:rsidR="00A14715" w:rsidRPr="00A14715">
        <w:rPr>
          <w:lang w:eastAsia="zh-CN"/>
        </w:rPr>
        <w:t xml:space="preserve">Onsite </w:t>
      </w:r>
      <w:r>
        <w:rPr>
          <w:lang w:eastAsia="zh-CN"/>
        </w:rPr>
        <w:t>Assessment</w:t>
      </w:r>
      <w:r w:rsidR="00A14715" w:rsidRPr="00A14715">
        <w:rPr>
          <w:lang w:eastAsia="zh-CN"/>
        </w:rPr>
        <w:t xml:space="preserve"> Preparation</w:t>
      </w:r>
      <w:r w:rsidR="00B249D6">
        <w:rPr>
          <w:lang w:eastAsia="zh-CN"/>
        </w:rPr>
        <w:t xml:space="preserve"> Checklist</w:t>
      </w:r>
      <w:bookmarkEnd w:id="22"/>
      <w:bookmarkEnd w:id="23"/>
    </w:p>
    <w:p w14:paraId="122E21E7" w14:textId="0ED768B2" w:rsidR="00EA4BC0" w:rsidRDefault="00EA4BC0" w:rsidP="001F17BB">
      <w:pPr>
        <w:rPr>
          <w:rFonts w:cs="Arial"/>
          <w:lang w:eastAsia="zh-CN"/>
        </w:rPr>
      </w:pPr>
    </w:p>
    <w:p w14:paraId="1B8FCAD4" w14:textId="3F7BA709" w:rsidR="00DE08BA" w:rsidRDefault="00DE08BA" w:rsidP="001F17BB">
      <w:pPr>
        <w:rPr>
          <w:rFonts w:cs="Arial"/>
          <w:lang w:eastAsia="zh-CN"/>
        </w:rPr>
      </w:pPr>
      <w:r>
        <w:rPr>
          <w:rFonts w:cs="Arial"/>
          <w:lang w:eastAsia="zh-CN"/>
        </w:rPr>
        <w:t>In addition to the pre-a</w:t>
      </w:r>
      <w:r w:rsidR="000C3BF0">
        <w:rPr>
          <w:rFonts w:cs="Arial"/>
          <w:lang w:eastAsia="zh-CN"/>
        </w:rPr>
        <w:t>sse</w:t>
      </w:r>
      <w:r w:rsidR="00E37DD6">
        <w:rPr>
          <w:rFonts w:cs="Arial"/>
          <w:lang w:eastAsia="zh-CN"/>
        </w:rPr>
        <w:t>ss</w:t>
      </w:r>
      <w:r w:rsidR="000C3BF0">
        <w:rPr>
          <w:rFonts w:cs="Arial"/>
          <w:lang w:eastAsia="zh-CN"/>
        </w:rPr>
        <w:t>ment</w:t>
      </w:r>
      <w:r>
        <w:rPr>
          <w:rFonts w:cs="Arial"/>
          <w:lang w:eastAsia="zh-CN"/>
        </w:rPr>
        <w:t xml:space="preserve"> documentation</w:t>
      </w:r>
      <w:r w:rsidR="00C55098">
        <w:rPr>
          <w:rFonts w:cs="Arial"/>
          <w:lang w:eastAsia="zh-CN"/>
        </w:rPr>
        <w:t xml:space="preserve">, </w:t>
      </w:r>
      <w:r w:rsidR="003179A1">
        <w:rPr>
          <w:rFonts w:cs="Arial"/>
          <w:lang w:eastAsia="zh-CN"/>
        </w:rPr>
        <w:t xml:space="preserve">a </w:t>
      </w:r>
      <w:r w:rsidR="0091372E">
        <w:rPr>
          <w:rFonts w:cs="Arial"/>
          <w:lang w:eastAsia="zh-CN"/>
        </w:rPr>
        <w:t xml:space="preserve">site tour and </w:t>
      </w:r>
      <w:r>
        <w:rPr>
          <w:rFonts w:cs="Arial"/>
          <w:lang w:eastAsia="zh-CN"/>
        </w:rPr>
        <w:t xml:space="preserve">the following documents, records, and preparation should be </w:t>
      </w:r>
      <w:r w:rsidR="00973D10">
        <w:rPr>
          <w:rFonts w:cs="Arial"/>
          <w:lang w:eastAsia="zh-CN"/>
        </w:rPr>
        <w:t>prepared</w:t>
      </w:r>
      <w:r>
        <w:rPr>
          <w:rFonts w:cs="Arial"/>
          <w:lang w:eastAsia="zh-CN"/>
        </w:rPr>
        <w:t xml:space="preserve"> </w:t>
      </w:r>
      <w:r w:rsidR="00C55098">
        <w:rPr>
          <w:rFonts w:cs="Arial"/>
          <w:lang w:eastAsia="zh-CN"/>
        </w:rPr>
        <w:t xml:space="preserve">during the onsite evaluation </w:t>
      </w:r>
      <w:r>
        <w:rPr>
          <w:rFonts w:cs="Arial"/>
          <w:lang w:eastAsia="zh-CN"/>
        </w:rPr>
        <w:t xml:space="preserve">to demonstrate compliance to </w:t>
      </w:r>
      <w:r w:rsidR="00E37DD6">
        <w:rPr>
          <w:rFonts w:cs="Arial"/>
          <w:lang w:eastAsia="zh-CN"/>
        </w:rPr>
        <w:t>Better Cotton CoC Standard</w:t>
      </w:r>
      <w:r>
        <w:rPr>
          <w:rFonts w:cs="Arial"/>
          <w:lang w:eastAsia="zh-CN"/>
        </w:rPr>
        <w:t xml:space="preserve"> requirements</w:t>
      </w:r>
      <w:r w:rsidR="00545B83">
        <w:rPr>
          <w:rFonts w:cs="Arial"/>
          <w:lang w:eastAsia="zh-CN"/>
        </w:rPr>
        <w:t xml:space="preserve">. </w:t>
      </w:r>
    </w:p>
    <w:p w14:paraId="7C5DEBDE" w14:textId="3A2EA161" w:rsidR="00545B83" w:rsidRDefault="00545B83" w:rsidP="001F17BB">
      <w:pPr>
        <w:rPr>
          <w:rFonts w:cs="Arial"/>
          <w:lang w:eastAsia="zh-CN"/>
        </w:rPr>
      </w:pPr>
    </w:p>
    <w:tbl>
      <w:tblPr>
        <w:tblStyle w:val="TableGrid"/>
        <w:tblW w:w="0" w:type="auto"/>
        <w:tblLook w:val="04A0" w:firstRow="1" w:lastRow="0" w:firstColumn="1" w:lastColumn="0" w:noHBand="0" w:noVBand="1"/>
      </w:tblPr>
      <w:tblGrid>
        <w:gridCol w:w="6115"/>
        <w:gridCol w:w="4342"/>
      </w:tblGrid>
      <w:tr w:rsidR="0030599A" w:rsidRPr="00973D10" w14:paraId="0BF29339" w14:textId="13DBA10E" w:rsidTr="00A45C0A">
        <w:trPr>
          <w:trHeight w:val="188"/>
        </w:trPr>
        <w:tc>
          <w:tcPr>
            <w:tcW w:w="10457" w:type="dxa"/>
            <w:gridSpan w:val="2"/>
            <w:shd w:val="clear" w:color="auto" w:fill="D9D9D9" w:themeFill="background1" w:themeFillShade="D9"/>
          </w:tcPr>
          <w:p w14:paraId="6BBE41B1" w14:textId="5645CC71" w:rsidR="0030599A" w:rsidRPr="00973D10" w:rsidRDefault="003F31B8" w:rsidP="00952EAE">
            <w:pPr>
              <w:rPr>
                <w:rFonts w:cs="Arial"/>
                <w:b/>
                <w:bCs/>
                <w:lang w:eastAsia="zh-CN"/>
              </w:rPr>
            </w:pPr>
            <w:r>
              <w:rPr>
                <w:rFonts w:cs="Arial"/>
                <w:b/>
                <w:bCs/>
                <w:lang w:eastAsia="zh-CN"/>
              </w:rPr>
              <w:t>C</w:t>
            </w:r>
            <w:r w:rsidR="0030599A">
              <w:rPr>
                <w:rFonts w:cs="Arial"/>
                <w:b/>
                <w:bCs/>
                <w:lang w:eastAsia="zh-CN"/>
              </w:rPr>
              <w:t xml:space="preserve">.1 </w:t>
            </w:r>
            <w:r w:rsidR="00D00C57">
              <w:rPr>
                <w:rFonts w:cs="Arial"/>
                <w:b/>
                <w:bCs/>
                <w:lang w:eastAsia="zh-CN"/>
              </w:rPr>
              <w:t>On-site Tour</w:t>
            </w:r>
          </w:p>
        </w:tc>
      </w:tr>
      <w:tr w:rsidR="00A45C0A" w:rsidRPr="00973D10" w14:paraId="4C3394FC" w14:textId="77777777" w:rsidTr="00ED5D60">
        <w:tc>
          <w:tcPr>
            <w:tcW w:w="6115" w:type="dxa"/>
            <w:shd w:val="clear" w:color="auto" w:fill="D9D9D9" w:themeFill="background1" w:themeFillShade="D9"/>
          </w:tcPr>
          <w:p w14:paraId="19CA96A7" w14:textId="5B4A5816" w:rsidR="00A45C0A" w:rsidRDefault="00A45C0A" w:rsidP="00A45C0A">
            <w:pPr>
              <w:rPr>
                <w:rFonts w:cs="Arial"/>
                <w:b/>
                <w:bCs/>
                <w:sz w:val="20"/>
                <w:szCs w:val="16"/>
                <w:lang w:eastAsia="zh-CN"/>
              </w:rPr>
            </w:pPr>
            <w:r>
              <w:rPr>
                <w:rFonts w:cs="Arial"/>
                <w:b/>
                <w:bCs/>
                <w:sz w:val="20"/>
                <w:szCs w:val="16"/>
                <w:lang w:eastAsia="zh-CN"/>
              </w:rPr>
              <w:t>2.1 General Requirements</w:t>
            </w:r>
          </w:p>
        </w:tc>
        <w:tc>
          <w:tcPr>
            <w:tcW w:w="4342" w:type="dxa"/>
            <w:shd w:val="clear" w:color="auto" w:fill="D9D9D9" w:themeFill="background1" w:themeFillShade="D9"/>
          </w:tcPr>
          <w:p w14:paraId="0C023839" w14:textId="14B9CACE" w:rsidR="00A45C0A" w:rsidRPr="0030599A" w:rsidRDefault="00A45C0A" w:rsidP="00A45C0A">
            <w:pPr>
              <w:rPr>
                <w:rFonts w:cs="Arial"/>
                <w:b/>
                <w:bCs/>
                <w:sz w:val="20"/>
                <w:szCs w:val="16"/>
                <w:lang w:eastAsia="zh-CN"/>
              </w:rPr>
            </w:pPr>
            <w:r>
              <w:rPr>
                <w:rFonts w:cs="Arial"/>
                <w:b/>
                <w:bCs/>
                <w:sz w:val="20"/>
                <w:szCs w:val="16"/>
                <w:lang w:eastAsia="zh-CN"/>
              </w:rPr>
              <w:t>Guidance (if any)</w:t>
            </w:r>
          </w:p>
        </w:tc>
      </w:tr>
      <w:tr w:rsidR="00A45C0A" w:rsidRPr="00973D10" w14:paraId="7E672E87" w14:textId="77777777" w:rsidTr="00ED5D60">
        <w:trPr>
          <w:trHeight w:val="432"/>
        </w:trPr>
        <w:tc>
          <w:tcPr>
            <w:tcW w:w="6115" w:type="dxa"/>
          </w:tcPr>
          <w:p w14:paraId="7090DEFD" w14:textId="7B55AFDA" w:rsidR="00A45C0A" w:rsidRPr="00A3732F" w:rsidRDefault="005F3707" w:rsidP="00A45C0A">
            <w:pPr>
              <w:rPr>
                <w:rFonts w:cs="Arial"/>
                <w:sz w:val="20"/>
                <w:szCs w:val="16"/>
                <w:lang w:eastAsia="zh-CN"/>
              </w:rPr>
            </w:pPr>
            <w:r>
              <w:rPr>
                <w:rFonts w:cs="Arial"/>
                <w:sz w:val="20"/>
                <w:szCs w:val="16"/>
                <w:lang w:eastAsia="zh-CN"/>
              </w:rPr>
              <w:t>The organization shall implement and maintain a documented management system, applicable to the scale and complexity of the org</w:t>
            </w:r>
            <w:r w:rsidR="00EE4B17">
              <w:rPr>
                <w:rFonts w:cs="Arial"/>
                <w:sz w:val="20"/>
                <w:szCs w:val="16"/>
                <w:lang w:eastAsia="zh-CN"/>
              </w:rPr>
              <w:t>anization</w:t>
            </w:r>
            <w:r>
              <w:rPr>
                <w:rFonts w:cs="Arial"/>
                <w:sz w:val="20"/>
                <w:szCs w:val="16"/>
                <w:lang w:eastAsia="zh-CN"/>
              </w:rPr>
              <w:t xml:space="preserve">’s operations. </w:t>
            </w:r>
          </w:p>
        </w:tc>
        <w:tc>
          <w:tcPr>
            <w:tcW w:w="4342" w:type="dxa"/>
          </w:tcPr>
          <w:p w14:paraId="00C771D8" w14:textId="3304B3B0" w:rsidR="00A45C0A" w:rsidRPr="00E37DD6" w:rsidRDefault="00B20D38" w:rsidP="00A45C0A">
            <w:pPr>
              <w:rPr>
                <w:rFonts w:cs="Arial"/>
                <w:sz w:val="20"/>
                <w:lang w:eastAsia="zh-CN"/>
              </w:rPr>
            </w:pPr>
            <w:r w:rsidRPr="005F3707">
              <w:rPr>
                <w:rFonts w:cs="Arial"/>
                <w:sz w:val="20"/>
                <w:lang w:eastAsia="zh-CN"/>
              </w:rPr>
              <w:t>Organizations</w:t>
            </w:r>
            <w:r w:rsidR="005F3707" w:rsidRPr="005F3707">
              <w:rPr>
                <w:rFonts w:cs="Arial"/>
                <w:sz w:val="20"/>
                <w:lang w:eastAsia="zh-CN"/>
              </w:rPr>
              <w:t xml:space="preserve"> should have a clear, consistent and documented management system. This may be embedded within broader management systems, particularly when </w:t>
            </w:r>
            <w:r w:rsidR="00A801B9" w:rsidRPr="005F3707">
              <w:rPr>
                <w:rFonts w:cs="Arial"/>
                <w:sz w:val="20"/>
                <w:lang w:eastAsia="zh-CN"/>
              </w:rPr>
              <w:t>organizations</w:t>
            </w:r>
            <w:r w:rsidR="005F3707" w:rsidRPr="005F3707">
              <w:rPr>
                <w:rFonts w:cs="Arial"/>
                <w:sz w:val="20"/>
                <w:lang w:eastAsia="zh-CN"/>
              </w:rPr>
              <w:t xml:space="preserve"> are verified to other CoC Standards e.g. CCS, GOTS or other quality management systems.</w:t>
            </w:r>
          </w:p>
        </w:tc>
      </w:tr>
      <w:tr w:rsidR="00A45C0A" w:rsidRPr="00973D10" w14:paraId="6707EECF" w14:textId="77777777" w:rsidTr="00ED5D60">
        <w:trPr>
          <w:trHeight w:val="432"/>
        </w:trPr>
        <w:tc>
          <w:tcPr>
            <w:tcW w:w="6115" w:type="dxa"/>
          </w:tcPr>
          <w:p w14:paraId="678FBC95" w14:textId="48CC84E2" w:rsidR="00A45C0A" w:rsidRPr="00A3732F" w:rsidRDefault="008F7705" w:rsidP="00A45C0A">
            <w:pPr>
              <w:rPr>
                <w:rFonts w:cs="Arial"/>
                <w:sz w:val="20"/>
                <w:szCs w:val="16"/>
                <w:lang w:eastAsia="zh-CN"/>
              </w:rPr>
            </w:pPr>
            <w:r>
              <w:rPr>
                <w:rFonts w:cs="Arial"/>
                <w:sz w:val="20"/>
                <w:lang w:eastAsia="zh-CN"/>
              </w:rPr>
              <w:t>Training records of staff and workers.</w:t>
            </w:r>
          </w:p>
        </w:tc>
        <w:tc>
          <w:tcPr>
            <w:tcW w:w="4342" w:type="dxa"/>
          </w:tcPr>
          <w:p w14:paraId="1042A02F" w14:textId="56E92A29" w:rsidR="00A45C0A" w:rsidRPr="00A45C0A" w:rsidRDefault="008F7705" w:rsidP="00A45C0A">
            <w:pPr>
              <w:rPr>
                <w:rFonts w:cs="Arial"/>
                <w:sz w:val="20"/>
                <w:szCs w:val="16"/>
                <w:lang w:eastAsia="zh-CN"/>
              </w:rPr>
            </w:pPr>
            <w:r>
              <w:rPr>
                <w:rFonts w:cs="Arial"/>
                <w:sz w:val="20"/>
                <w:szCs w:val="16"/>
                <w:lang w:eastAsia="zh-CN"/>
              </w:rPr>
              <w:t>Up-to-date and evidence</w:t>
            </w:r>
            <w:r w:rsidR="00D12205">
              <w:rPr>
                <w:rFonts w:cs="Arial"/>
                <w:sz w:val="20"/>
                <w:szCs w:val="16"/>
                <w:lang w:eastAsia="zh-CN"/>
              </w:rPr>
              <w:t>d</w:t>
            </w:r>
            <w:r>
              <w:rPr>
                <w:rFonts w:cs="Arial"/>
                <w:sz w:val="20"/>
                <w:szCs w:val="16"/>
                <w:lang w:eastAsia="zh-CN"/>
              </w:rPr>
              <w:t xml:space="preserve"> records. </w:t>
            </w:r>
          </w:p>
        </w:tc>
      </w:tr>
      <w:tr w:rsidR="00A45C0A" w:rsidRPr="00973D10" w14:paraId="7699403C" w14:textId="77777777" w:rsidTr="00ED5D60">
        <w:trPr>
          <w:trHeight w:val="432"/>
        </w:trPr>
        <w:tc>
          <w:tcPr>
            <w:tcW w:w="6115" w:type="dxa"/>
          </w:tcPr>
          <w:p w14:paraId="5519B85A" w14:textId="5DD3DFF2" w:rsidR="00A45C0A" w:rsidRPr="00A3732F" w:rsidRDefault="005F3707" w:rsidP="00A45C0A">
            <w:pPr>
              <w:rPr>
                <w:rFonts w:cs="Arial"/>
                <w:sz w:val="20"/>
                <w:szCs w:val="16"/>
                <w:lang w:eastAsia="zh-CN"/>
              </w:rPr>
            </w:pPr>
            <w:r w:rsidRPr="005F3707">
              <w:rPr>
                <w:rFonts w:cs="Arial"/>
                <w:sz w:val="20"/>
                <w:szCs w:val="16"/>
                <w:lang w:eastAsia="zh-CN"/>
              </w:rPr>
              <w:t xml:space="preserve">The </w:t>
            </w:r>
            <w:r w:rsidR="00A801B9" w:rsidRPr="005F3707">
              <w:rPr>
                <w:rFonts w:cs="Arial"/>
                <w:sz w:val="20"/>
                <w:szCs w:val="16"/>
                <w:lang w:eastAsia="zh-CN"/>
              </w:rPr>
              <w:t>organization</w:t>
            </w:r>
            <w:r w:rsidRPr="005F3707">
              <w:rPr>
                <w:rFonts w:cs="Arial"/>
                <w:sz w:val="20"/>
                <w:szCs w:val="16"/>
                <w:lang w:eastAsia="zh-CN"/>
              </w:rPr>
              <w:t xml:space="preserve"> shall maintain sufficient infrastructure and technical resources</w:t>
            </w:r>
          </w:p>
        </w:tc>
        <w:tc>
          <w:tcPr>
            <w:tcW w:w="4342" w:type="dxa"/>
          </w:tcPr>
          <w:p w14:paraId="56C249E2" w14:textId="5C875D2F" w:rsidR="00A45C0A" w:rsidRPr="00A45C0A" w:rsidRDefault="005F3707" w:rsidP="00A45C0A">
            <w:pPr>
              <w:rPr>
                <w:rFonts w:cs="Arial"/>
                <w:sz w:val="20"/>
                <w:szCs w:val="16"/>
                <w:lang w:eastAsia="zh-CN"/>
              </w:rPr>
            </w:pPr>
            <w:r w:rsidRPr="005F3707">
              <w:rPr>
                <w:rFonts w:cs="Arial"/>
                <w:sz w:val="20"/>
                <w:szCs w:val="16"/>
                <w:lang w:eastAsia="zh-CN"/>
              </w:rPr>
              <w:t xml:space="preserve">Infrastructure refers to physical infrastructure (e.g. warehousing capabilities, production lines, IT systems). The </w:t>
            </w:r>
            <w:r w:rsidR="00A801B9" w:rsidRPr="005F3707">
              <w:rPr>
                <w:rFonts w:cs="Arial"/>
                <w:sz w:val="20"/>
                <w:szCs w:val="16"/>
                <w:lang w:eastAsia="zh-CN"/>
              </w:rPr>
              <w:t>organization</w:t>
            </w:r>
            <w:r w:rsidRPr="005F3707">
              <w:rPr>
                <w:rFonts w:cs="Arial"/>
                <w:sz w:val="20"/>
                <w:szCs w:val="16"/>
                <w:lang w:eastAsia="zh-CN"/>
              </w:rPr>
              <w:t xml:space="preserve"> should demonstrate there is sufficient space, storage and resources to implement the CoC. Resources may include personnel, tools, equipment or external support to implement the CoC.</w:t>
            </w:r>
          </w:p>
        </w:tc>
      </w:tr>
      <w:tr w:rsidR="00A45C0A" w:rsidRPr="00973D10" w14:paraId="353AE673" w14:textId="77777777" w:rsidTr="00ED5D60">
        <w:trPr>
          <w:trHeight w:val="432"/>
        </w:trPr>
        <w:tc>
          <w:tcPr>
            <w:tcW w:w="6115" w:type="dxa"/>
          </w:tcPr>
          <w:p w14:paraId="768E3D0B" w14:textId="7687AF4C" w:rsidR="00A45C0A" w:rsidRPr="00A3732F" w:rsidRDefault="00B07711" w:rsidP="00A45C0A">
            <w:pPr>
              <w:rPr>
                <w:rFonts w:cs="Arial"/>
                <w:sz w:val="20"/>
                <w:szCs w:val="16"/>
                <w:lang w:eastAsia="zh-CN"/>
              </w:rPr>
            </w:pPr>
            <w:r w:rsidRPr="00B07711">
              <w:rPr>
                <w:rFonts w:cs="Arial"/>
                <w:sz w:val="20"/>
                <w:szCs w:val="16"/>
                <w:lang w:eastAsia="zh-CN"/>
              </w:rPr>
              <w:t>The assessor shall interview responsible personnel (management, administrative staff and workers) to verify competency in understanding and applying the relevant CoC Standard.</w:t>
            </w:r>
          </w:p>
        </w:tc>
        <w:tc>
          <w:tcPr>
            <w:tcW w:w="4342" w:type="dxa"/>
          </w:tcPr>
          <w:p w14:paraId="38E9ED48" w14:textId="77777777" w:rsidR="008B03CA" w:rsidRDefault="005260F3" w:rsidP="005260F3">
            <w:pPr>
              <w:pStyle w:val="ListParagraph"/>
              <w:numPr>
                <w:ilvl w:val="0"/>
                <w:numId w:val="26"/>
              </w:numPr>
              <w:rPr>
                <w:rFonts w:cs="Arial"/>
                <w:sz w:val="20"/>
                <w:szCs w:val="16"/>
                <w:lang w:eastAsia="zh-CN"/>
              </w:rPr>
            </w:pPr>
            <w:r w:rsidRPr="008B03CA">
              <w:rPr>
                <w:rFonts w:cs="Arial"/>
                <w:sz w:val="20"/>
                <w:szCs w:val="16"/>
                <w:lang w:eastAsia="zh-CN"/>
              </w:rPr>
              <w:t>The personnel responsible for the overall implementation of the CoC Standard.</w:t>
            </w:r>
          </w:p>
          <w:p w14:paraId="37BC663D" w14:textId="77777777" w:rsidR="008B03CA" w:rsidRDefault="005260F3" w:rsidP="005260F3">
            <w:pPr>
              <w:pStyle w:val="ListParagraph"/>
              <w:numPr>
                <w:ilvl w:val="0"/>
                <w:numId w:val="26"/>
              </w:numPr>
              <w:rPr>
                <w:rFonts w:cs="Arial"/>
                <w:sz w:val="20"/>
                <w:szCs w:val="16"/>
                <w:lang w:eastAsia="zh-CN"/>
              </w:rPr>
            </w:pPr>
            <w:r w:rsidRPr="008B03CA">
              <w:rPr>
                <w:rFonts w:cs="Arial"/>
                <w:sz w:val="20"/>
                <w:szCs w:val="16"/>
                <w:lang w:eastAsia="zh-CN"/>
              </w:rPr>
              <w:t>The personnel responsible for critical control points and areas of risk identified.</w:t>
            </w:r>
          </w:p>
          <w:p w14:paraId="04F61074" w14:textId="77777777" w:rsidR="008B03CA" w:rsidRDefault="005260F3" w:rsidP="005260F3">
            <w:pPr>
              <w:pStyle w:val="ListParagraph"/>
              <w:numPr>
                <w:ilvl w:val="0"/>
                <w:numId w:val="26"/>
              </w:numPr>
              <w:rPr>
                <w:rFonts w:cs="Arial"/>
                <w:sz w:val="20"/>
                <w:szCs w:val="16"/>
                <w:lang w:eastAsia="zh-CN"/>
              </w:rPr>
            </w:pPr>
            <w:r w:rsidRPr="008B03CA">
              <w:rPr>
                <w:rFonts w:cs="Arial"/>
                <w:sz w:val="20"/>
                <w:szCs w:val="16"/>
                <w:lang w:eastAsia="zh-CN"/>
              </w:rPr>
              <w:t>Processing and handling activities in the operation during the assessment.</w:t>
            </w:r>
          </w:p>
          <w:p w14:paraId="5DF81F8B" w14:textId="77777777" w:rsidR="008B03CA" w:rsidRDefault="005260F3" w:rsidP="005260F3">
            <w:pPr>
              <w:pStyle w:val="ListParagraph"/>
              <w:numPr>
                <w:ilvl w:val="0"/>
                <w:numId w:val="26"/>
              </w:numPr>
              <w:rPr>
                <w:rFonts w:cs="Arial"/>
                <w:sz w:val="20"/>
                <w:szCs w:val="16"/>
                <w:lang w:eastAsia="zh-CN"/>
              </w:rPr>
            </w:pPr>
            <w:r w:rsidRPr="008B03CA">
              <w:rPr>
                <w:rFonts w:cs="Arial"/>
                <w:sz w:val="20"/>
                <w:szCs w:val="16"/>
                <w:lang w:eastAsia="zh-CN"/>
              </w:rPr>
              <w:t>The open non-conformities from previous assessments (if applicable).</w:t>
            </w:r>
          </w:p>
          <w:p w14:paraId="13980895" w14:textId="77777777" w:rsidR="00A45C0A" w:rsidRDefault="005260F3" w:rsidP="005260F3">
            <w:pPr>
              <w:pStyle w:val="ListParagraph"/>
              <w:numPr>
                <w:ilvl w:val="0"/>
                <w:numId w:val="26"/>
              </w:numPr>
              <w:rPr>
                <w:rFonts w:cs="Arial"/>
                <w:sz w:val="20"/>
                <w:szCs w:val="16"/>
                <w:lang w:eastAsia="zh-CN"/>
              </w:rPr>
            </w:pPr>
            <w:r w:rsidRPr="008B03CA">
              <w:rPr>
                <w:rFonts w:cs="Arial"/>
                <w:sz w:val="20"/>
                <w:szCs w:val="16"/>
                <w:lang w:eastAsia="zh-CN"/>
              </w:rPr>
              <w:t xml:space="preserve">In case the activities at an </w:t>
            </w:r>
            <w:r w:rsidR="008B03CA" w:rsidRPr="008B03CA">
              <w:rPr>
                <w:rFonts w:cs="Arial"/>
                <w:sz w:val="20"/>
                <w:szCs w:val="16"/>
                <w:lang w:eastAsia="zh-CN"/>
              </w:rPr>
              <w:t>organization</w:t>
            </w:r>
            <w:r w:rsidRPr="008B03CA">
              <w:rPr>
                <w:rFonts w:cs="Arial"/>
                <w:sz w:val="20"/>
                <w:szCs w:val="16"/>
                <w:lang w:eastAsia="zh-CN"/>
              </w:rPr>
              <w:t xml:space="preserve"> (e.g., ginner) depend much on the use of temporary and/or seasonal workers, the assessor shall make its best effort to have the highest estimated number of temporary and/or seasonal workers present during the onsite assessment.</w:t>
            </w:r>
          </w:p>
          <w:p w14:paraId="3A5EABCD" w14:textId="77777777" w:rsidR="00206D45" w:rsidRDefault="00206D45" w:rsidP="00206D45">
            <w:pPr>
              <w:pStyle w:val="ListParagraph"/>
              <w:rPr>
                <w:rFonts w:cs="Arial"/>
                <w:sz w:val="20"/>
                <w:szCs w:val="16"/>
                <w:lang w:eastAsia="zh-CN"/>
              </w:rPr>
            </w:pPr>
          </w:p>
          <w:p w14:paraId="49C8BE57" w14:textId="3FAA0213" w:rsidR="00206D45" w:rsidRPr="00206D45" w:rsidRDefault="00206D45" w:rsidP="00206D45">
            <w:pPr>
              <w:rPr>
                <w:rFonts w:cs="Arial"/>
                <w:sz w:val="20"/>
                <w:szCs w:val="16"/>
                <w:lang w:eastAsia="zh-CN"/>
              </w:rPr>
            </w:pPr>
            <w:r w:rsidRPr="00206D45">
              <w:rPr>
                <w:rFonts w:cs="Arial"/>
                <w:sz w:val="20"/>
                <w:szCs w:val="16"/>
                <w:lang w:eastAsia="zh-CN"/>
              </w:rPr>
              <w:t>The number of interviews carried out shall reflect the size of the organization</w:t>
            </w:r>
            <w:r>
              <w:rPr>
                <w:rFonts w:cs="Arial"/>
                <w:sz w:val="20"/>
                <w:szCs w:val="16"/>
                <w:lang w:eastAsia="zh-CN"/>
              </w:rPr>
              <w:t>.</w:t>
            </w:r>
          </w:p>
        </w:tc>
      </w:tr>
      <w:tr w:rsidR="00A45C0A" w:rsidRPr="00973D10" w14:paraId="3E6628F6" w14:textId="7CEB188F" w:rsidTr="00ED5D60">
        <w:trPr>
          <w:trHeight w:val="432"/>
        </w:trPr>
        <w:tc>
          <w:tcPr>
            <w:tcW w:w="6115" w:type="dxa"/>
          </w:tcPr>
          <w:p w14:paraId="7406A7F4" w14:textId="415D1A7B" w:rsidR="00A45C0A" w:rsidRPr="00A45C0A" w:rsidRDefault="00AB2A16" w:rsidP="00A45C0A">
            <w:pPr>
              <w:rPr>
                <w:rFonts w:cs="Arial"/>
                <w:sz w:val="20"/>
                <w:szCs w:val="16"/>
                <w:lang w:eastAsia="zh-CN"/>
              </w:rPr>
            </w:pPr>
            <w:r w:rsidRPr="00AB2A16">
              <w:rPr>
                <w:rFonts w:cs="Arial"/>
                <w:sz w:val="20"/>
                <w:szCs w:val="16"/>
                <w:lang w:eastAsia="zh-CN"/>
              </w:rPr>
              <w:t xml:space="preserve">The </w:t>
            </w:r>
            <w:r w:rsidR="00A801B9" w:rsidRPr="00AB2A16">
              <w:rPr>
                <w:rFonts w:cs="Arial"/>
                <w:sz w:val="20"/>
                <w:szCs w:val="16"/>
                <w:lang w:eastAsia="zh-CN"/>
              </w:rPr>
              <w:t>organization</w:t>
            </w:r>
            <w:r w:rsidRPr="00AB2A16">
              <w:rPr>
                <w:rFonts w:cs="Arial"/>
                <w:sz w:val="20"/>
                <w:szCs w:val="16"/>
                <w:lang w:eastAsia="zh-CN"/>
              </w:rPr>
              <w:t xml:space="preserve"> shall maintain accurate, complete, up-to-date, and accessible records covering all aspects of this Standard. The records shall be applicable to the scope of the </w:t>
            </w:r>
            <w:r w:rsidR="00157C5A" w:rsidRPr="00AB2A16">
              <w:rPr>
                <w:rFonts w:cs="Arial"/>
                <w:sz w:val="20"/>
                <w:szCs w:val="16"/>
                <w:lang w:eastAsia="zh-CN"/>
              </w:rPr>
              <w:t>organization’s</w:t>
            </w:r>
            <w:r w:rsidRPr="00AB2A16">
              <w:rPr>
                <w:rFonts w:cs="Arial"/>
                <w:sz w:val="20"/>
                <w:szCs w:val="16"/>
                <w:lang w:eastAsia="zh-CN"/>
              </w:rPr>
              <w:t xml:space="preserve"> verification.</w:t>
            </w:r>
            <w:r w:rsidR="00022816">
              <w:rPr>
                <w:rFonts w:cs="Arial"/>
                <w:sz w:val="20"/>
                <w:szCs w:val="16"/>
                <w:lang w:eastAsia="zh-CN"/>
              </w:rPr>
              <w:t xml:space="preserve">  </w:t>
            </w:r>
            <w:r w:rsidR="003F1E53" w:rsidRPr="003F1E53">
              <w:rPr>
                <w:rFonts w:cs="Arial"/>
                <w:sz w:val="20"/>
                <w:szCs w:val="16"/>
                <w:lang w:eastAsia="zh-CN"/>
              </w:rPr>
              <w:t xml:space="preserve">The </w:t>
            </w:r>
            <w:r w:rsidR="00157C5A" w:rsidRPr="003F1E53">
              <w:rPr>
                <w:rFonts w:cs="Arial"/>
                <w:sz w:val="20"/>
                <w:szCs w:val="16"/>
                <w:lang w:eastAsia="zh-CN"/>
              </w:rPr>
              <w:t>organization</w:t>
            </w:r>
            <w:r w:rsidR="003F1E53" w:rsidRPr="003F1E53">
              <w:rPr>
                <w:rFonts w:cs="Arial"/>
                <w:sz w:val="20"/>
                <w:szCs w:val="16"/>
                <w:lang w:eastAsia="zh-CN"/>
              </w:rPr>
              <w:t xml:space="preserve"> shall maintain all applicable records for a minimum of two (2) years.</w:t>
            </w:r>
          </w:p>
        </w:tc>
        <w:tc>
          <w:tcPr>
            <w:tcW w:w="4342" w:type="dxa"/>
          </w:tcPr>
          <w:p w14:paraId="621A307D" w14:textId="477446F6" w:rsidR="00A45C0A" w:rsidRPr="00A3732F" w:rsidRDefault="00AB2A16" w:rsidP="00A45C0A">
            <w:pPr>
              <w:rPr>
                <w:rFonts w:cs="Arial"/>
                <w:sz w:val="20"/>
                <w:szCs w:val="16"/>
                <w:lang w:eastAsia="zh-CN"/>
              </w:rPr>
            </w:pPr>
            <w:r w:rsidRPr="00AB2A16">
              <w:rPr>
                <w:rFonts w:cs="Arial"/>
                <w:sz w:val="20"/>
                <w:szCs w:val="16"/>
                <w:lang w:eastAsia="zh-CN"/>
              </w:rPr>
              <w:t>Records shall include but are not limited to: Purchase orders, Supplier delivery notes, certificates of origin and invoices, Raw material stock records, Production records, Finished goods stock records, Sales and distribution records, Stock reconciliation records</w:t>
            </w:r>
          </w:p>
        </w:tc>
      </w:tr>
      <w:tr w:rsidR="00A45C0A" w:rsidRPr="00973D10" w14:paraId="1F22A4E5" w14:textId="21C32612" w:rsidTr="00ED5D60">
        <w:trPr>
          <w:trHeight w:val="432"/>
        </w:trPr>
        <w:tc>
          <w:tcPr>
            <w:tcW w:w="6115" w:type="dxa"/>
          </w:tcPr>
          <w:p w14:paraId="703E3FCE" w14:textId="0C882EBA" w:rsidR="00A45C0A" w:rsidRPr="00A45C0A" w:rsidRDefault="00AB2A16" w:rsidP="00A45C0A">
            <w:pPr>
              <w:rPr>
                <w:rFonts w:cs="Arial"/>
                <w:sz w:val="20"/>
                <w:lang w:eastAsia="zh-CN"/>
              </w:rPr>
            </w:pPr>
            <w:r w:rsidRPr="00AB2A16">
              <w:rPr>
                <w:rFonts w:cs="Arial"/>
                <w:sz w:val="20"/>
                <w:lang w:eastAsia="zh-CN"/>
              </w:rPr>
              <w:t xml:space="preserve">The </w:t>
            </w:r>
            <w:r w:rsidR="00A801B9" w:rsidRPr="00AB2A16">
              <w:rPr>
                <w:rFonts w:cs="Arial"/>
                <w:sz w:val="20"/>
                <w:lang w:eastAsia="zh-CN"/>
              </w:rPr>
              <w:t>organization</w:t>
            </w:r>
            <w:r w:rsidRPr="00AB2A16">
              <w:rPr>
                <w:rFonts w:cs="Arial"/>
                <w:sz w:val="20"/>
                <w:lang w:eastAsia="zh-CN"/>
              </w:rPr>
              <w:t xml:space="preserve"> shall have a procedure for the handling and resolution of complaints relating to the implementation of the CoC Standard.</w:t>
            </w:r>
          </w:p>
        </w:tc>
        <w:tc>
          <w:tcPr>
            <w:tcW w:w="4342" w:type="dxa"/>
          </w:tcPr>
          <w:p w14:paraId="56984147" w14:textId="4B4F386C" w:rsidR="00A45C0A" w:rsidRPr="00A45C0A" w:rsidRDefault="00A45C0A" w:rsidP="00A45C0A">
            <w:pPr>
              <w:rPr>
                <w:rFonts w:cs="Arial"/>
                <w:sz w:val="20"/>
                <w:lang w:eastAsia="zh-CN"/>
              </w:rPr>
            </w:pPr>
          </w:p>
        </w:tc>
      </w:tr>
      <w:tr w:rsidR="00EE4B17" w:rsidRPr="00973D10" w14:paraId="130F6735" w14:textId="78503D1F" w:rsidTr="00ED5D60">
        <w:trPr>
          <w:trHeight w:val="432"/>
        </w:trPr>
        <w:tc>
          <w:tcPr>
            <w:tcW w:w="6115" w:type="dxa"/>
            <w:vAlign w:val="center"/>
          </w:tcPr>
          <w:p w14:paraId="2802EB73" w14:textId="66FEB7EE" w:rsidR="00EE4B17" w:rsidRPr="00A45C0A" w:rsidRDefault="00EE4B17" w:rsidP="00EE4B17">
            <w:pPr>
              <w:rPr>
                <w:rFonts w:cs="Arial"/>
                <w:sz w:val="20"/>
                <w:lang w:eastAsia="zh-CN"/>
              </w:rPr>
            </w:pPr>
            <w:r w:rsidRPr="009972A0">
              <w:rPr>
                <w:rFonts w:cs="Arial"/>
                <w:sz w:val="20"/>
                <w:lang w:eastAsia="zh-CN"/>
              </w:rPr>
              <w:lastRenderedPageBreak/>
              <w:t xml:space="preserve">Maps / Diagram Layout of Processes and Storage Areas for </w:t>
            </w:r>
            <w:r w:rsidR="00DB4B27">
              <w:rPr>
                <w:rFonts w:cs="Arial"/>
                <w:sz w:val="20"/>
                <w:lang w:eastAsia="zh-CN"/>
              </w:rPr>
              <w:t>Better Cotton</w:t>
            </w:r>
            <w:r w:rsidRPr="009972A0">
              <w:rPr>
                <w:rFonts w:cs="Arial"/>
                <w:sz w:val="20"/>
                <w:lang w:eastAsia="zh-CN"/>
              </w:rPr>
              <w:t xml:space="preserve"> Materials / Products</w:t>
            </w:r>
          </w:p>
        </w:tc>
        <w:tc>
          <w:tcPr>
            <w:tcW w:w="4342" w:type="dxa"/>
          </w:tcPr>
          <w:p w14:paraId="3945BD28" w14:textId="4DD87A78" w:rsidR="00EE4B17" w:rsidRPr="00A45C0A" w:rsidRDefault="00EE4B17" w:rsidP="00EE4B17">
            <w:pPr>
              <w:rPr>
                <w:rFonts w:cs="Arial"/>
                <w:sz w:val="20"/>
                <w:lang w:eastAsia="zh-CN"/>
              </w:rPr>
            </w:pPr>
          </w:p>
        </w:tc>
      </w:tr>
      <w:tr w:rsidR="00EE4B17" w:rsidRPr="00973D10" w14:paraId="32B5B880" w14:textId="43767AC7" w:rsidTr="00ED5D60">
        <w:trPr>
          <w:trHeight w:val="432"/>
        </w:trPr>
        <w:tc>
          <w:tcPr>
            <w:tcW w:w="6115" w:type="dxa"/>
          </w:tcPr>
          <w:p w14:paraId="4672E854" w14:textId="15F9458C" w:rsidR="00425E5F" w:rsidRPr="00A24360" w:rsidRDefault="00425E5F" w:rsidP="00425E5F">
            <w:pPr>
              <w:pStyle w:val="Default"/>
              <w:rPr>
                <w:rFonts w:asciiTheme="majorHAnsi" w:hAnsiTheme="majorHAnsi" w:cstheme="majorHAnsi"/>
                <w:sz w:val="20"/>
                <w:szCs w:val="20"/>
              </w:rPr>
            </w:pPr>
            <w:r w:rsidRPr="00A24360">
              <w:rPr>
                <w:rFonts w:asciiTheme="majorHAnsi" w:hAnsiTheme="majorHAnsi" w:cstheme="majorHAnsi"/>
                <w:sz w:val="20"/>
                <w:szCs w:val="20"/>
              </w:rPr>
              <w:t>Processing records including conversion factors</w:t>
            </w:r>
            <w:r w:rsidR="0063384E">
              <w:rPr>
                <w:rFonts w:asciiTheme="majorHAnsi" w:hAnsiTheme="majorHAnsi" w:cstheme="majorHAnsi"/>
                <w:sz w:val="20"/>
                <w:szCs w:val="20"/>
              </w:rPr>
              <w:t>,</w:t>
            </w:r>
          </w:p>
          <w:p w14:paraId="50F71A38" w14:textId="15E1F2AE" w:rsidR="00EE4B17" w:rsidRPr="00A24360" w:rsidRDefault="00EE4B17" w:rsidP="00EE4B17">
            <w:pPr>
              <w:rPr>
                <w:rFonts w:asciiTheme="majorHAnsi" w:hAnsiTheme="majorHAnsi" w:cstheme="majorHAnsi"/>
                <w:sz w:val="20"/>
                <w:lang w:eastAsia="zh-CN"/>
              </w:rPr>
            </w:pPr>
            <w:r w:rsidRPr="00A24360">
              <w:rPr>
                <w:rFonts w:asciiTheme="majorHAnsi" w:hAnsiTheme="majorHAnsi" w:cstheme="majorHAnsi"/>
                <w:sz w:val="20"/>
                <w:lang w:eastAsia="zh-CN"/>
              </w:rPr>
              <w:t>packing slip, and transaction certificates.</w:t>
            </w:r>
          </w:p>
        </w:tc>
        <w:tc>
          <w:tcPr>
            <w:tcW w:w="4342" w:type="dxa"/>
          </w:tcPr>
          <w:p w14:paraId="3E6C1952" w14:textId="77777777" w:rsidR="00A24360" w:rsidRPr="00A24360" w:rsidRDefault="00A24360" w:rsidP="00A24360">
            <w:pPr>
              <w:pStyle w:val="Default"/>
              <w:rPr>
                <w:rFonts w:asciiTheme="majorHAnsi" w:hAnsiTheme="majorHAnsi" w:cstheme="majorHAnsi"/>
                <w:sz w:val="20"/>
                <w:szCs w:val="20"/>
              </w:rPr>
            </w:pPr>
            <w:r w:rsidRPr="00A24360">
              <w:rPr>
                <w:rFonts w:asciiTheme="majorHAnsi" w:hAnsiTheme="majorHAnsi" w:cstheme="majorHAnsi"/>
                <w:sz w:val="20"/>
                <w:szCs w:val="20"/>
              </w:rPr>
              <w:t>Volume summary report, invoices, sales receipts</w:t>
            </w:r>
          </w:p>
          <w:p w14:paraId="3350F691" w14:textId="735B62F6" w:rsidR="00EE4B17" w:rsidRPr="00A24360" w:rsidRDefault="00EE4B17" w:rsidP="00EE4B17">
            <w:pPr>
              <w:rPr>
                <w:rFonts w:asciiTheme="majorHAnsi" w:hAnsiTheme="majorHAnsi" w:cstheme="majorHAnsi"/>
                <w:sz w:val="20"/>
                <w:lang w:eastAsia="zh-CN"/>
              </w:rPr>
            </w:pPr>
          </w:p>
        </w:tc>
      </w:tr>
      <w:tr w:rsidR="00EE4B17" w:rsidRPr="00973D10" w14:paraId="78277EA3" w14:textId="440FDD16" w:rsidTr="00ED5D60">
        <w:trPr>
          <w:trHeight w:val="432"/>
        </w:trPr>
        <w:tc>
          <w:tcPr>
            <w:tcW w:w="6115" w:type="dxa"/>
          </w:tcPr>
          <w:p w14:paraId="0073DE65" w14:textId="3C2575B2" w:rsidR="00EE4B17" w:rsidRPr="00A45C0A" w:rsidRDefault="00172A8E" w:rsidP="00EE4B17">
            <w:pPr>
              <w:rPr>
                <w:rFonts w:cs="Arial"/>
                <w:sz w:val="20"/>
                <w:lang w:eastAsia="zh-CN"/>
              </w:rPr>
            </w:pPr>
            <w:r w:rsidRPr="00172A8E">
              <w:rPr>
                <w:rFonts w:cs="Arial"/>
                <w:sz w:val="20"/>
                <w:lang w:eastAsia="zh-CN"/>
              </w:rPr>
              <w:t>Contracts with subcontractors and details of the subcontracting activities (if applicable)</w:t>
            </w:r>
          </w:p>
        </w:tc>
        <w:tc>
          <w:tcPr>
            <w:tcW w:w="4342" w:type="dxa"/>
          </w:tcPr>
          <w:p w14:paraId="2FA1689D" w14:textId="0EB1F4A9" w:rsidR="00EE4B17" w:rsidRPr="00A45C0A" w:rsidRDefault="00FC75FB" w:rsidP="00EE4B17">
            <w:pPr>
              <w:rPr>
                <w:rFonts w:cs="Arial"/>
                <w:sz w:val="20"/>
                <w:lang w:eastAsia="zh-CN"/>
              </w:rPr>
            </w:pPr>
            <w:r w:rsidRPr="00FC75FB">
              <w:rPr>
                <w:rFonts w:cs="Arial"/>
                <w:sz w:val="20"/>
                <w:lang w:eastAsia="zh-CN"/>
              </w:rPr>
              <w:t xml:space="preserve">Up-to-date, </w:t>
            </w:r>
            <w:r w:rsidR="00363A92" w:rsidRPr="00FC75FB">
              <w:rPr>
                <w:rFonts w:cs="Arial"/>
                <w:sz w:val="20"/>
                <w:lang w:eastAsia="zh-CN"/>
              </w:rPr>
              <w:t>relevant,</w:t>
            </w:r>
            <w:r w:rsidRPr="00FC75FB">
              <w:rPr>
                <w:rFonts w:cs="Arial"/>
                <w:sz w:val="20"/>
                <w:lang w:eastAsia="zh-CN"/>
              </w:rPr>
              <w:t xml:space="preserve"> and well-managed subcontracting agreements</w:t>
            </w:r>
          </w:p>
        </w:tc>
      </w:tr>
      <w:tr w:rsidR="00047F2B" w:rsidRPr="00153B96" w14:paraId="3A2058CA" w14:textId="77777777" w:rsidTr="00ED5D60">
        <w:trPr>
          <w:trHeight w:val="432"/>
        </w:trPr>
        <w:tc>
          <w:tcPr>
            <w:tcW w:w="6115" w:type="dxa"/>
            <w:vAlign w:val="center"/>
          </w:tcPr>
          <w:p w14:paraId="7C4D1CC6" w14:textId="7570DBDC" w:rsidR="00047F2B" w:rsidRPr="00153B96" w:rsidRDefault="0063384E" w:rsidP="002E343C">
            <w:pPr>
              <w:rPr>
                <w:rFonts w:cs="Arial"/>
                <w:b/>
                <w:bCs/>
                <w:sz w:val="20"/>
                <w:lang w:eastAsia="zh-CN"/>
              </w:rPr>
            </w:pPr>
            <w:r>
              <w:rPr>
                <w:rFonts w:cs="Arial"/>
                <w:sz w:val="20"/>
                <w:lang w:eastAsia="zh-CN"/>
              </w:rPr>
              <w:t>Mass Balance Sheet / Volume reconciliation records</w:t>
            </w:r>
          </w:p>
        </w:tc>
        <w:tc>
          <w:tcPr>
            <w:tcW w:w="4342" w:type="dxa"/>
            <w:vAlign w:val="center"/>
          </w:tcPr>
          <w:p w14:paraId="3555DD87" w14:textId="507734E3" w:rsidR="00047F2B" w:rsidRPr="00153B96" w:rsidRDefault="0083012B" w:rsidP="002E343C">
            <w:pPr>
              <w:rPr>
                <w:rFonts w:cs="Arial"/>
                <w:sz w:val="20"/>
                <w:lang w:eastAsia="zh-CN"/>
              </w:rPr>
            </w:pPr>
            <w:r w:rsidRPr="0083012B">
              <w:rPr>
                <w:rFonts w:cs="Arial"/>
                <w:sz w:val="20"/>
                <w:lang w:eastAsia="zh-CN"/>
              </w:rPr>
              <w:t xml:space="preserve">Up-to-date, </w:t>
            </w:r>
            <w:r w:rsidR="00363A92" w:rsidRPr="0083012B">
              <w:rPr>
                <w:rFonts w:cs="Arial"/>
                <w:sz w:val="20"/>
                <w:lang w:eastAsia="zh-CN"/>
              </w:rPr>
              <w:t>relevant,</w:t>
            </w:r>
            <w:r w:rsidRPr="0083012B">
              <w:rPr>
                <w:rFonts w:cs="Arial"/>
                <w:sz w:val="20"/>
                <w:lang w:eastAsia="zh-CN"/>
              </w:rPr>
              <w:t xml:space="preserve"> and well-managed subcontracting agreements</w:t>
            </w:r>
          </w:p>
        </w:tc>
      </w:tr>
      <w:tr w:rsidR="00047F2B" w:rsidRPr="00153B96" w14:paraId="5B28533A" w14:textId="77777777" w:rsidTr="00ED5D60">
        <w:trPr>
          <w:trHeight w:val="432"/>
        </w:trPr>
        <w:tc>
          <w:tcPr>
            <w:tcW w:w="6115" w:type="dxa"/>
            <w:vAlign w:val="center"/>
          </w:tcPr>
          <w:p w14:paraId="05FB0192" w14:textId="38117F47" w:rsidR="00047F2B" w:rsidRPr="00153B96" w:rsidRDefault="003D2CA3" w:rsidP="002E343C">
            <w:pPr>
              <w:rPr>
                <w:rFonts w:cs="Arial"/>
                <w:sz w:val="20"/>
                <w:lang w:eastAsia="zh-CN"/>
              </w:rPr>
            </w:pPr>
            <w:r w:rsidRPr="003D2CA3">
              <w:rPr>
                <w:rFonts w:cs="Arial"/>
                <w:sz w:val="20"/>
                <w:lang w:eastAsia="zh-CN"/>
              </w:rPr>
              <w:t xml:space="preserve">Traceability and segregation systems, purchase/sales </w:t>
            </w:r>
            <w:r w:rsidR="00363A92" w:rsidRPr="003D2CA3">
              <w:rPr>
                <w:rFonts w:cs="Arial"/>
                <w:sz w:val="20"/>
                <w:lang w:eastAsia="zh-CN"/>
              </w:rPr>
              <w:t>procedures,</w:t>
            </w:r>
            <w:r w:rsidRPr="003D2CA3">
              <w:rPr>
                <w:rFonts w:cs="Arial"/>
                <w:sz w:val="20"/>
                <w:lang w:eastAsia="zh-CN"/>
              </w:rPr>
              <w:t xml:space="preserve"> and purchase/sales records</w:t>
            </w:r>
          </w:p>
        </w:tc>
        <w:tc>
          <w:tcPr>
            <w:tcW w:w="4342" w:type="dxa"/>
            <w:vAlign w:val="center"/>
          </w:tcPr>
          <w:p w14:paraId="0977FCC2" w14:textId="35B2587B" w:rsidR="00047F2B" w:rsidRPr="00153B96" w:rsidRDefault="00172A8E" w:rsidP="002E343C">
            <w:pPr>
              <w:rPr>
                <w:rFonts w:cs="Arial"/>
                <w:sz w:val="20"/>
                <w:lang w:eastAsia="zh-CN"/>
              </w:rPr>
            </w:pPr>
            <w:r w:rsidRPr="00172A8E">
              <w:rPr>
                <w:rFonts w:cs="Arial"/>
                <w:sz w:val="20"/>
                <w:lang w:eastAsia="zh-CN"/>
              </w:rPr>
              <w:t xml:space="preserve">Identification systems e.g. signs, </w:t>
            </w:r>
            <w:r w:rsidR="0063384E" w:rsidRPr="00172A8E">
              <w:rPr>
                <w:rFonts w:cs="Arial"/>
                <w:sz w:val="20"/>
                <w:lang w:eastAsia="zh-CN"/>
              </w:rPr>
              <w:t>color</w:t>
            </w:r>
            <w:r w:rsidRPr="00172A8E">
              <w:rPr>
                <w:rFonts w:cs="Arial"/>
                <w:sz w:val="20"/>
                <w:lang w:eastAsia="zh-CN"/>
              </w:rPr>
              <w:t xml:space="preserve"> coded systems, barcodes, chalkboards</w:t>
            </w:r>
          </w:p>
        </w:tc>
      </w:tr>
      <w:tr w:rsidR="00221CF5" w:rsidRPr="00153B96" w14:paraId="77F9790A" w14:textId="77777777" w:rsidTr="00ED5D60">
        <w:trPr>
          <w:trHeight w:val="432"/>
        </w:trPr>
        <w:tc>
          <w:tcPr>
            <w:tcW w:w="6115" w:type="dxa"/>
            <w:vAlign w:val="center"/>
          </w:tcPr>
          <w:p w14:paraId="0F7B6771" w14:textId="510B6E8A" w:rsidR="00221CF5" w:rsidRPr="003D2CA3" w:rsidRDefault="00221CF5" w:rsidP="002E343C">
            <w:pPr>
              <w:rPr>
                <w:rFonts w:cs="Arial"/>
                <w:sz w:val="20"/>
                <w:lang w:eastAsia="zh-CN"/>
              </w:rPr>
            </w:pPr>
            <w:r w:rsidRPr="00221CF5">
              <w:rPr>
                <w:rFonts w:cs="Arial"/>
                <w:sz w:val="20"/>
                <w:lang w:eastAsia="zh-CN"/>
              </w:rPr>
              <w:t>Site inspections shall cover, but not be limited to locations where there are workers performing key processing activities directly related to the verification scope.</w:t>
            </w:r>
          </w:p>
        </w:tc>
        <w:tc>
          <w:tcPr>
            <w:tcW w:w="4342" w:type="dxa"/>
            <w:vAlign w:val="center"/>
          </w:tcPr>
          <w:p w14:paraId="0C3C14DF" w14:textId="77777777" w:rsidR="00221CF5" w:rsidRPr="00172A8E" w:rsidRDefault="00221CF5" w:rsidP="002E343C">
            <w:pPr>
              <w:rPr>
                <w:rFonts w:cs="Arial"/>
                <w:sz w:val="20"/>
                <w:lang w:eastAsia="zh-CN"/>
              </w:rPr>
            </w:pPr>
          </w:p>
        </w:tc>
      </w:tr>
    </w:tbl>
    <w:p w14:paraId="3A64CAEC" w14:textId="69573ECE" w:rsidR="00C1142F" w:rsidRDefault="00C1142F">
      <w:pPr>
        <w:rPr>
          <w:rFonts w:asciiTheme="majorHAnsi" w:eastAsiaTheme="majorEastAsia" w:hAnsiTheme="majorHAnsi" w:cstheme="majorBidi"/>
          <w:color w:val="365F91" w:themeColor="accent1" w:themeShade="BF"/>
          <w:sz w:val="32"/>
          <w:szCs w:val="32"/>
          <w:lang w:eastAsia="zh-CN"/>
        </w:rPr>
      </w:pPr>
      <w:bookmarkStart w:id="24" w:name="_Toc158293490"/>
      <w:bookmarkEnd w:id="24"/>
    </w:p>
    <w:p w14:paraId="531159E0" w14:textId="77777777" w:rsidR="00C1142F" w:rsidRDefault="00C1142F">
      <w:pPr>
        <w:rPr>
          <w:rFonts w:asciiTheme="majorHAnsi" w:eastAsiaTheme="majorEastAsia" w:hAnsiTheme="majorHAnsi" w:cstheme="majorBidi"/>
          <w:color w:val="365F91" w:themeColor="accent1" w:themeShade="BF"/>
          <w:sz w:val="32"/>
          <w:szCs w:val="32"/>
          <w:lang w:eastAsia="zh-CN"/>
        </w:rPr>
      </w:pPr>
      <w:r>
        <w:rPr>
          <w:rFonts w:asciiTheme="majorHAnsi" w:eastAsiaTheme="majorEastAsia" w:hAnsiTheme="majorHAnsi" w:cstheme="majorBidi"/>
          <w:color w:val="365F91" w:themeColor="accent1" w:themeShade="BF"/>
          <w:sz w:val="32"/>
          <w:szCs w:val="32"/>
          <w:lang w:eastAsia="zh-CN"/>
        </w:rPr>
        <w:br w:type="page"/>
      </w:r>
    </w:p>
    <w:p w14:paraId="3A303E65" w14:textId="6BEE4A2D" w:rsidR="002361F1" w:rsidRDefault="00F75D11" w:rsidP="00F03E12">
      <w:pPr>
        <w:pStyle w:val="Heading1"/>
        <w:numPr>
          <w:ilvl w:val="0"/>
          <w:numId w:val="35"/>
        </w:numPr>
        <w:rPr>
          <w:lang w:eastAsia="zh-CN"/>
        </w:rPr>
      </w:pPr>
      <w:bookmarkStart w:id="25" w:name="_Toc158293491"/>
      <w:bookmarkStart w:id="26" w:name="_Toc158626693"/>
      <w:r>
        <w:rPr>
          <w:lang w:eastAsia="zh-CN"/>
        </w:rPr>
        <w:lastRenderedPageBreak/>
        <w:t>Appendi</w:t>
      </w:r>
      <w:r w:rsidR="00DA5708">
        <w:rPr>
          <w:lang w:eastAsia="zh-CN"/>
        </w:rPr>
        <w:t>x</w:t>
      </w:r>
      <w:r w:rsidR="002A0498">
        <w:rPr>
          <w:lang w:eastAsia="zh-CN"/>
        </w:rPr>
        <w:t xml:space="preserve"> (Documentation Guidance)</w:t>
      </w:r>
      <w:bookmarkEnd w:id="25"/>
      <w:bookmarkEnd w:id="26"/>
    </w:p>
    <w:p w14:paraId="077ED0E0" w14:textId="271FCE55" w:rsidR="00A209E0" w:rsidRDefault="00A209E0" w:rsidP="00A209E0">
      <w:pPr>
        <w:rPr>
          <w:lang w:eastAsia="zh-CN"/>
        </w:rPr>
      </w:pPr>
    </w:p>
    <w:p w14:paraId="0A3B6C1F" w14:textId="3BB1B458" w:rsidR="00A209E0" w:rsidRPr="00A209E0" w:rsidRDefault="00A209E0" w:rsidP="00A209E0">
      <w:pPr>
        <w:rPr>
          <w:lang w:eastAsia="zh-CN"/>
        </w:rPr>
      </w:pPr>
      <w:r>
        <w:rPr>
          <w:lang w:eastAsia="zh-CN"/>
        </w:rPr>
        <w:t xml:space="preserve">IDFL has prepared the following appendices to help in the preparation of the </w:t>
      </w:r>
      <w:r w:rsidR="00E54174">
        <w:rPr>
          <w:lang w:eastAsia="zh-CN"/>
        </w:rPr>
        <w:t>BC CoC Standard</w:t>
      </w:r>
      <w:r>
        <w:rPr>
          <w:lang w:eastAsia="zh-CN"/>
        </w:rPr>
        <w:t xml:space="preserve"> documentation. Each appendix references a specific document / manual and includes the suggested </w:t>
      </w:r>
      <w:r w:rsidRPr="00A209E0">
        <w:rPr>
          <w:lang w:eastAsia="zh-CN"/>
        </w:rPr>
        <w:t>section</w:t>
      </w:r>
      <w:r>
        <w:rPr>
          <w:lang w:eastAsia="zh-CN"/>
        </w:rPr>
        <w:t xml:space="preserve">s (information and/or procedure) that should be used to prepare the document. Please note, the list of sections </w:t>
      </w:r>
      <w:r w:rsidR="003218C6">
        <w:rPr>
          <w:lang w:eastAsia="zh-CN"/>
        </w:rPr>
        <w:t>is</w:t>
      </w:r>
      <w:r>
        <w:rPr>
          <w:lang w:eastAsia="zh-CN"/>
        </w:rPr>
        <w:t xml:space="preserve"> for reference only – some may not apply. </w:t>
      </w:r>
      <w:r w:rsidR="003B2A97">
        <w:rPr>
          <w:lang w:eastAsia="zh-CN"/>
        </w:rPr>
        <w:t xml:space="preserve">IDFL will provide a more detailed list </w:t>
      </w:r>
      <w:r w:rsidR="00EF4260">
        <w:rPr>
          <w:lang w:eastAsia="zh-CN"/>
        </w:rPr>
        <w:t xml:space="preserve">upon confirmation of service. </w:t>
      </w:r>
    </w:p>
    <w:p w14:paraId="22C1CB85" w14:textId="77777777" w:rsidR="002361F1" w:rsidRDefault="002361F1" w:rsidP="001F17BB">
      <w:pPr>
        <w:rPr>
          <w:rFonts w:cs="Arial"/>
          <w:lang w:eastAsia="zh-CN"/>
        </w:rPr>
      </w:pPr>
    </w:p>
    <w:tbl>
      <w:tblPr>
        <w:tblStyle w:val="TableGrid"/>
        <w:tblW w:w="0" w:type="auto"/>
        <w:tblLook w:val="04A0" w:firstRow="1" w:lastRow="0" w:firstColumn="1" w:lastColumn="0" w:noHBand="0" w:noVBand="1"/>
      </w:tblPr>
      <w:tblGrid>
        <w:gridCol w:w="7028"/>
        <w:gridCol w:w="3429"/>
      </w:tblGrid>
      <w:tr w:rsidR="00784C48" w:rsidRPr="00784C48" w14:paraId="4979311B" w14:textId="14C1FECF" w:rsidTr="00575FD2">
        <w:trPr>
          <w:trHeight w:val="395"/>
        </w:trPr>
        <w:tc>
          <w:tcPr>
            <w:tcW w:w="10457" w:type="dxa"/>
            <w:gridSpan w:val="2"/>
            <w:shd w:val="clear" w:color="auto" w:fill="D9D9D9" w:themeFill="background1" w:themeFillShade="D9"/>
          </w:tcPr>
          <w:p w14:paraId="715900B2" w14:textId="2FA08368" w:rsidR="00C55098" w:rsidRPr="00C55098" w:rsidRDefault="00575FD2" w:rsidP="00C55098">
            <w:pPr>
              <w:rPr>
                <w:rFonts w:cs="Arial"/>
                <w:b/>
                <w:bCs/>
                <w:lang w:eastAsia="zh-CN"/>
              </w:rPr>
            </w:pPr>
            <w:r>
              <w:rPr>
                <w:rFonts w:cs="Arial"/>
                <w:b/>
                <w:bCs/>
                <w:lang w:eastAsia="zh-CN"/>
              </w:rPr>
              <w:t>BC CoC</w:t>
            </w:r>
            <w:r w:rsidR="00784C48" w:rsidRPr="00784C48">
              <w:rPr>
                <w:rFonts w:cs="Arial"/>
                <w:b/>
                <w:bCs/>
                <w:lang w:eastAsia="zh-CN"/>
              </w:rPr>
              <w:t xml:space="preserve"> Management System </w:t>
            </w:r>
            <w:r w:rsidR="009135EE">
              <w:rPr>
                <w:rFonts w:cs="Arial"/>
                <w:b/>
                <w:bCs/>
                <w:lang w:eastAsia="zh-CN"/>
              </w:rPr>
              <w:t xml:space="preserve">/ Production Manual </w:t>
            </w:r>
            <w:r w:rsidR="00C55098">
              <w:rPr>
                <w:rFonts w:cs="Arial"/>
                <w:b/>
                <w:bCs/>
                <w:lang w:eastAsia="zh-CN"/>
              </w:rPr>
              <w:t>Guidance</w:t>
            </w:r>
          </w:p>
        </w:tc>
      </w:tr>
      <w:tr w:rsidR="00784C48" w:rsidRPr="00784C48" w14:paraId="3B630218" w14:textId="77777777" w:rsidTr="00575FD2">
        <w:tc>
          <w:tcPr>
            <w:tcW w:w="7028" w:type="dxa"/>
            <w:shd w:val="clear" w:color="auto" w:fill="D9D9D9" w:themeFill="background1" w:themeFillShade="D9"/>
          </w:tcPr>
          <w:p w14:paraId="3778BDFD" w14:textId="73DB5FCE" w:rsidR="00784C48" w:rsidRPr="002B712E" w:rsidRDefault="00A209E0" w:rsidP="00DB78DD">
            <w:pPr>
              <w:rPr>
                <w:rFonts w:cs="Arial"/>
                <w:sz w:val="20"/>
                <w:lang w:eastAsia="zh-CN"/>
              </w:rPr>
            </w:pPr>
            <w:r>
              <w:rPr>
                <w:rFonts w:cs="Arial"/>
                <w:sz w:val="20"/>
                <w:lang w:eastAsia="zh-CN"/>
              </w:rPr>
              <w:t>Section - Information and/or Procedure</w:t>
            </w:r>
          </w:p>
        </w:tc>
        <w:tc>
          <w:tcPr>
            <w:tcW w:w="3429" w:type="dxa"/>
            <w:shd w:val="clear" w:color="auto" w:fill="D9D9D9" w:themeFill="background1" w:themeFillShade="D9"/>
          </w:tcPr>
          <w:p w14:paraId="2E1D76CA" w14:textId="753B027D" w:rsidR="00784C48" w:rsidRPr="002B712E" w:rsidRDefault="00A209E0" w:rsidP="00784C48">
            <w:pPr>
              <w:rPr>
                <w:rFonts w:cs="Arial"/>
                <w:sz w:val="20"/>
                <w:lang w:eastAsia="zh-CN"/>
              </w:rPr>
            </w:pPr>
            <w:r>
              <w:rPr>
                <w:rFonts w:cs="Arial"/>
                <w:sz w:val="20"/>
                <w:lang w:eastAsia="zh-CN"/>
              </w:rPr>
              <w:t>Guidance</w:t>
            </w:r>
          </w:p>
        </w:tc>
      </w:tr>
      <w:tr w:rsidR="00A209E0" w:rsidRPr="00784C48" w14:paraId="0F656E64" w14:textId="77777777" w:rsidTr="00575FD2">
        <w:tc>
          <w:tcPr>
            <w:tcW w:w="7028" w:type="dxa"/>
          </w:tcPr>
          <w:p w14:paraId="15578149" w14:textId="6D955C79" w:rsidR="00A209E0" w:rsidRPr="002B712E" w:rsidRDefault="00A209E0" w:rsidP="00DB78DD">
            <w:pPr>
              <w:rPr>
                <w:rFonts w:cs="Arial"/>
                <w:sz w:val="20"/>
                <w:lang w:eastAsia="zh-CN"/>
              </w:rPr>
            </w:pPr>
            <w:r w:rsidRPr="002B712E">
              <w:rPr>
                <w:rFonts w:cs="Arial"/>
                <w:sz w:val="20"/>
                <w:lang w:eastAsia="zh-CN"/>
              </w:rPr>
              <w:t>Company introduction</w:t>
            </w:r>
          </w:p>
        </w:tc>
        <w:tc>
          <w:tcPr>
            <w:tcW w:w="3429" w:type="dxa"/>
          </w:tcPr>
          <w:p w14:paraId="59077D79" w14:textId="77777777" w:rsidR="00A209E0" w:rsidRPr="002B712E" w:rsidRDefault="00A209E0" w:rsidP="00784C48">
            <w:pPr>
              <w:rPr>
                <w:rFonts w:cs="Arial"/>
                <w:sz w:val="20"/>
                <w:lang w:eastAsia="zh-CN"/>
              </w:rPr>
            </w:pPr>
          </w:p>
        </w:tc>
      </w:tr>
      <w:tr w:rsidR="00784C48" w:rsidRPr="00784C48" w14:paraId="5D42CC91" w14:textId="42B88FBB" w:rsidTr="00575FD2">
        <w:tc>
          <w:tcPr>
            <w:tcW w:w="7028" w:type="dxa"/>
          </w:tcPr>
          <w:p w14:paraId="2FAB64B2" w14:textId="4FD65C00" w:rsidR="00784C48" w:rsidRPr="002B712E" w:rsidRDefault="00784C48" w:rsidP="00DB78DD">
            <w:pPr>
              <w:rPr>
                <w:rFonts w:cs="Arial"/>
                <w:sz w:val="20"/>
                <w:lang w:eastAsia="zh-CN"/>
              </w:rPr>
            </w:pPr>
            <w:r w:rsidRPr="002B712E">
              <w:rPr>
                <w:rFonts w:cs="Arial"/>
                <w:sz w:val="20"/>
                <w:lang w:eastAsia="zh-CN"/>
              </w:rPr>
              <w:t xml:space="preserve">Organizational </w:t>
            </w:r>
            <w:r w:rsidR="00DB78DD" w:rsidRPr="002B712E">
              <w:rPr>
                <w:rFonts w:cs="Arial"/>
                <w:sz w:val="20"/>
                <w:lang w:eastAsia="zh-CN"/>
              </w:rPr>
              <w:t>c</w:t>
            </w:r>
            <w:r w:rsidRPr="002B712E">
              <w:rPr>
                <w:rFonts w:cs="Arial"/>
                <w:sz w:val="20"/>
                <w:lang w:eastAsia="zh-CN"/>
              </w:rPr>
              <w:t xml:space="preserve">hart (including </w:t>
            </w:r>
            <w:r w:rsidR="00952EAE">
              <w:rPr>
                <w:rFonts w:cs="Arial"/>
                <w:sz w:val="20"/>
                <w:lang w:eastAsia="zh-CN"/>
              </w:rPr>
              <w:t xml:space="preserve">appointment of </w:t>
            </w:r>
            <w:r w:rsidR="00575FD2">
              <w:rPr>
                <w:rFonts w:cs="Arial"/>
                <w:sz w:val="20"/>
                <w:lang w:eastAsia="zh-CN"/>
              </w:rPr>
              <w:t>BC</w:t>
            </w:r>
            <w:r w:rsidR="00A3732F" w:rsidRPr="002B712E">
              <w:rPr>
                <w:rFonts w:cs="Arial"/>
                <w:sz w:val="20"/>
                <w:lang w:eastAsia="zh-CN"/>
              </w:rPr>
              <w:t xml:space="preserve"> management representative and </w:t>
            </w:r>
            <w:r w:rsidR="009135EE" w:rsidRPr="002B712E">
              <w:rPr>
                <w:rFonts w:cs="Arial"/>
                <w:sz w:val="20"/>
                <w:lang w:eastAsia="zh-CN"/>
              </w:rPr>
              <w:t>all</w:t>
            </w:r>
            <w:r w:rsidR="009135EE">
              <w:rPr>
                <w:rFonts w:cs="Arial"/>
                <w:sz w:val="20"/>
                <w:lang w:eastAsia="zh-CN"/>
              </w:rPr>
              <w:t xml:space="preserve"> other </w:t>
            </w:r>
            <w:r w:rsidR="009135EE" w:rsidRPr="002B712E">
              <w:rPr>
                <w:rFonts w:cs="Arial"/>
                <w:sz w:val="20"/>
                <w:lang w:eastAsia="zh-CN"/>
              </w:rPr>
              <w:t>important</w:t>
            </w:r>
            <w:r w:rsidRPr="002B712E">
              <w:rPr>
                <w:rFonts w:cs="Arial"/>
                <w:sz w:val="20"/>
                <w:lang w:eastAsia="zh-CN"/>
              </w:rPr>
              <w:t xml:space="preserve"> roles and responsibilities) </w:t>
            </w:r>
          </w:p>
        </w:tc>
        <w:tc>
          <w:tcPr>
            <w:tcW w:w="3429" w:type="dxa"/>
          </w:tcPr>
          <w:p w14:paraId="3D6EE2F5" w14:textId="77777777" w:rsidR="00784C48" w:rsidRPr="002B712E" w:rsidRDefault="00784C48" w:rsidP="00784C48">
            <w:pPr>
              <w:rPr>
                <w:rFonts w:cs="Arial"/>
                <w:sz w:val="20"/>
                <w:lang w:eastAsia="zh-CN"/>
              </w:rPr>
            </w:pPr>
          </w:p>
        </w:tc>
      </w:tr>
      <w:tr w:rsidR="00784C48" w:rsidRPr="00784C48" w14:paraId="56B9697F" w14:textId="6205ABAA" w:rsidTr="00575FD2">
        <w:tc>
          <w:tcPr>
            <w:tcW w:w="7028" w:type="dxa"/>
          </w:tcPr>
          <w:p w14:paraId="66AEB096" w14:textId="1F792CFF" w:rsidR="00784C48" w:rsidRPr="002B712E" w:rsidRDefault="00784C48" w:rsidP="00DB78DD">
            <w:pPr>
              <w:rPr>
                <w:rFonts w:cs="Arial"/>
                <w:sz w:val="20"/>
                <w:lang w:eastAsia="zh-CN"/>
              </w:rPr>
            </w:pPr>
            <w:r w:rsidRPr="002B712E">
              <w:rPr>
                <w:rFonts w:cs="Arial"/>
                <w:sz w:val="20"/>
                <w:lang w:eastAsia="zh-CN"/>
              </w:rPr>
              <w:t xml:space="preserve">Management </w:t>
            </w:r>
            <w:r w:rsidR="00DB78DD" w:rsidRPr="002B712E">
              <w:rPr>
                <w:rFonts w:cs="Arial"/>
                <w:sz w:val="20"/>
                <w:lang w:eastAsia="zh-CN"/>
              </w:rPr>
              <w:t>s</w:t>
            </w:r>
            <w:r w:rsidRPr="002B712E">
              <w:rPr>
                <w:rFonts w:cs="Arial"/>
                <w:sz w:val="20"/>
                <w:lang w:eastAsia="zh-CN"/>
              </w:rPr>
              <w:t>ystem</w:t>
            </w:r>
          </w:p>
        </w:tc>
        <w:tc>
          <w:tcPr>
            <w:tcW w:w="3429" w:type="dxa"/>
          </w:tcPr>
          <w:p w14:paraId="0E9790B9" w14:textId="77777777" w:rsidR="00784C48" w:rsidRPr="002B712E" w:rsidRDefault="00784C48" w:rsidP="00784C48">
            <w:pPr>
              <w:rPr>
                <w:rFonts w:cs="Arial"/>
                <w:sz w:val="20"/>
                <w:lang w:eastAsia="zh-CN"/>
              </w:rPr>
            </w:pPr>
          </w:p>
        </w:tc>
      </w:tr>
      <w:tr w:rsidR="00784C48" w:rsidRPr="00784C48" w14:paraId="01961E63" w14:textId="6797B543" w:rsidTr="00575FD2">
        <w:tc>
          <w:tcPr>
            <w:tcW w:w="7028" w:type="dxa"/>
          </w:tcPr>
          <w:p w14:paraId="22110268" w14:textId="0E19339C" w:rsidR="00784C48" w:rsidRPr="002B712E" w:rsidRDefault="00784C48" w:rsidP="00DB78DD">
            <w:pPr>
              <w:pStyle w:val="ListParagraph"/>
              <w:numPr>
                <w:ilvl w:val="0"/>
                <w:numId w:val="13"/>
              </w:numPr>
              <w:rPr>
                <w:rFonts w:cs="Arial"/>
                <w:sz w:val="20"/>
                <w:lang w:eastAsia="zh-CN"/>
              </w:rPr>
            </w:pPr>
            <w:r w:rsidRPr="002B712E">
              <w:rPr>
                <w:rFonts w:cs="Arial"/>
                <w:sz w:val="20"/>
                <w:lang w:eastAsia="zh-CN"/>
              </w:rPr>
              <w:t xml:space="preserve">Control of </w:t>
            </w:r>
            <w:r w:rsidR="00DB78DD" w:rsidRPr="002B712E">
              <w:rPr>
                <w:rFonts w:cs="Arial"/>
                <w:sz w:val="20"/>
                <w:lang w:eastAsia="zh-CN"/>
              </w:rPr>
              <w:t>d</w:t>
            </w:r>
            <w:r w:rsidRPr="002B712E">
              <w:rPr>
                <w:rFonts w:cs="Arial"/>
                <w:sz w:val="20"/>
                <w:lang w:eastAsia="zh-CN"/>
              </w:rPr>
              <w:t>ocuments</w:t>
            </w:r>
          </w:p>
        </w:tc>
        <w:tc>
          <w:tcPr>
            <w:tcW w:w="3429" w:type="dxa"/>
          </w:tcPr>
          <w:p w14:paraId="4211C40D" w14:textId="77777777" w:rsidR="00784C48" w:rsidRPr="002B712E" w:rsidRDefault="00784C48" w:rsidP="00784C48">
            <w:pPr>
              <w:rPr>
                <w:rFonts w:cs="Arial"/>
                <w:sz w:val="20"/>
                <w:lang w:eastAsia="zh-CN"/>
              </w:rPr>
            </w:pPr>
          </w:p>
        </w:tc>
      </w:tr>
      <w:tr w:rsidR="00784C48" w:rsidRPr="00784C48" w14:paraId="7CD4921D" w14:textId="3E9AF21A" w:rsidTr="00575FD2">
        <w:tc>
          <w:tcPr>
            <w:tcW w:w="7028" w:type="dxa"/>
          </w:tcPr>
          <w:p w14:paraId="77185DD4" w14:textId="0EF70B8E" w:rsidR="00784C48" w:rsidRPr="002B712E" w:rsidRDefault="00784C48" w:rsidP="00DB78DD">
            <w:pPr>
              <w:pStyle w:val="ListParagraph"/>
              <w:numPr>
                <w:ilvl w:val="0"/>
                <w:numId w:val="13"/>
              </w:numPr>
              <w:rPr>
                <w:rFonts w:cs="Arial"/>
                <w:sz w:val="20"/>
                <w:lang w:eastAsia="zh-CN"/>
              </w:rPr>
            </w:pPr>
            <w:r w:rsidRPr="002B712E">
              <w:rPr>
                <w:rFonts w:cs="Arial"/>
                <w:sz w:val="20"/>
                <w:lang w:eastAsia="zh-CN"/>
              </w:rPr>
              <w:t xml:space="preserve">Control of </w:t>
            </w:r>
            <w:r w:rsidR="00DB78DD" w:rsidRPr="002B712E">
              <w:rPr>
                <w:rFonts w:cs="Arial"/>
                <w:sz w:val="20"/>
                <w:lang w:eastAsia="zh-CN"/>
              </w:rPr>
              <w:t>r</w:t>
            </w:r>
            <w:r w:rsidRPr="002B712E">
              <w:rPr>
                <w:rFonts w:cs="Arial"/>
                <w:sz w:val="20"/>
                <w:lang w:eastAsia="zh-CN"/>
              </w:rPr>
              <w:t>ecords</w:t>
            </w:r>
          </w:p>
        </w:tc>
        <w:tc>
          <w:tcPr>
            <w:tcW w:w="3429" w:type="dxa"/>
          </w:tcPr>
          <w:p w14:paraId="59469EF1" w14:textId="77777777" w:rsidR="00784C48" w:rsidRPr="002B712E" w:rsidRDefault="00784C48" w:rsidP="00784C48">
            <w:pPr>
              <w:rPr>
                <w:rFonts w:cs="Arial"/>
                <w:sz w:val="20"/>
                <w:lang w:eastAsia="zh-CN"/>
              </w:rPr>
            </w:pPr>
          </w:p>
        </w:tc>
      </w:tr>
      <w:tr w:rsidR="00784C48" w:rsidRPr="00784C48" w14:paraId="618A9D2F" w14:textId="054C790B" w:rsidTr="00575FD2">
        <w:tc>
          <w:tcPr>
            <w:tcW w:w="7028" w:type="dxa"/>
          </w:tcPr>
          <w:p w14:paraId="01F650E9" w14:textId="57C6203F" w:rsidR="00784C48" w:rsidRPr="002B712E" w:rsidRDefault="00784C48" w:rsidP="00DB78DD">
            <w:pPr>
              <w:pStyle w:val="ListParagraph"/>
              <w:numPr>
                <w:ilvl w:val="0"/>
                <w:numId w:val="13"/>
              </w:numPr>
              <w:rPr>
                <w:rFonts w:cs="Arial"/>
                <w:sz w:val="20"/>
                <w:lang w:eastAsia="zh-CN"/>
              </w:rPr>
            </w:pPr>
            <w:r w:rsidRPr="002B712E">
              <w:rPr>
                <w:rFonts w:cs="Arial"/>
                <w:sz w:val="20"/>
                <w:lang w:eastAsia="zh-CN"/>
              </w:rPr>
              <w:t xml:space="preserve">Internal </w:t>
            </w:r>
            <w:r w:rsidR="00DB78DD" w:rsidRPr="002B712E">
              <w:rPr>
                <w:rFonts w:cs="Arial"/>
                <w:sz w:val="20"/>
                <w:lang w:eastAsia="zh-CN"/>
              </w:rPr>
              <w:t>a</w:t>
            </w:r>
            <w:r w:rsidRPr="002B712E">
              <w:rPr>
                <w:rFonts w:cs="Arial"/>
                <w:sz w:val="20"/>
                <w:lang w:eastAsia="zh-CN"/>
              </w:rPr>
              <w:t>udits</w:t>
            </w:r>
          </w:p>
        </w:tc>
        <w:tc>
          <w:tcPr>
            <w:tcW w:w="3429" w:type="dxa"/>
          </w:tcPr>
          <w:p w14:paraId="61CC4747" w14:textId="77777777" w:rsidR="00784C48" w:rsidRPr="002B712E" w:rsidRDefault="00784C48" w:rsidP="00784C48">
            <w:pPr>
              <w:rPr>
                <w:rFonts w:cs="Arial"/>
                <w:sz w:val="20"/>
                <w:lang w:eastAsia="zh-CN"/>
              </w:rPr>
            </w:pPr>
          </w:p>
        </w:tc>
      </w:tr>
      <w:tr w:rsidR="00784C48" w:rsidRPr="00784C48" w14:paraId="783BC1EC" w14:textId="74D7560B" w:rsidTr="00575FD2">
        <w:tc>
          <w:tcPr>
            <w:tcW w:w="7028" w:type="dxa"/>
          </w:tcPr>
          <w:p w14:paraId="1DBD0A2A" w14:textId="50D17A3A" w:rsidR="00784C48" w:rsidRPr="002B712E" w:rsidRDefault="00784C48" w:rsidP="00DB78DD">
            <w:pPr>
              <w:pStyle w:val="ListParagraph"/>
              <w:numPr>
                <w:ilvl w:val="0"/>
                <w:numId w:val="13"/>
              </w:numPr>
              <w:rPr>
                <w:rFonts w:cs="Arial"/>
                <w:sz w:val="20"/>
                <w:lang w:eastAsia="zh-CN"/>
              </w:rPr>
            </w:pPr>
            <w:r w:rsidRPr="002B712E">
              <w:rPr>
                <w:rFonts w:cs="Arial"/>
                <w:sz w:val="20"/>
                <w:lang w:eastAsia="zh-CN"/>
              </w:rPr>
              <w:t xml:space="preserve">Management </w:t>
            </w:r>
            <w:r w:rsidR="00DB78DD" w:rsidRPr="002B712E">
              <w:rPr>
                <w:rFonts w:cs="Arial"/>
                <w:sz w:val="20"/>
                <w:lang w:eastAsia="zh-CN"/>
              </w:rPr>
              <w:t>r</w:t>
            </w:r>
            <w:r w:rsidRPr="002B712E">
              <w:rPr>
                <w:rFonts w:cs="Arial"/>
                <w:sz w:val="20"/>
                <w:lang w:eastAsia="zh-CN"/>
              </w:rPr>
              <w:t>eview</w:t>
            </w:r>
          </w:p>
        </w:tc>
        <w:tc>
          <w:tcPr>
            <w:tcW w:w="3429" w:type="dxa"/>
          </w:tcPr>
          <w:p w14:paraId="040CC961" w14:textId="77777777" w:rsidR="00784C48" w:rsidRPr="002B712E" w:rsidRDefault="00784C48" w:rsidP="00784C48">
            <w:pPr>
              <w:rPr>
                <w:rFonts w:cs="Arial"/>
                <w:sz w:val="20"/>
                <w:lang w:eastAsia="zh-CN"/>
              </w:rPr>
            </w:pPr>
          </w:p>
        </w:tc>
      </w:tr>
      <w:tr w:rsidR="00784C48" w:rsidRPr="00784C48" w14:paraId="2E6DCA20" w14:textId="79963892" w:rsidTr="00575FD2">
        <w:tc>
          <w:tcPr>
            <w:tcW w:w="7028" w:type="dxa"/>
          </w:tcPr>
          <w:p w14:paraId="278B84AE" w14:textId="3B12BE41" w:rsidR="00784C48" w:rsidRPr="002B712E" w:rsidRDefault="00784C48" w:rsidP="00DB78DD">
            <w:pPr>
              <w:rPr>
                <w:rFonts w:cs="Arial"/>
                <w:sz w:val="20"/>
                <w:lang w:eastAsia="zh-CN"/>
              </w:rPr>
            </w:pPr>
            <w:r w:rsidRPr="002B712E">
              <w:rPr>
                <w:rFonts w:cs="Arial"/>
                <w:sz w:val="20"/>
                <w:lang w:eastAsia="zh-CN"/>
              </w:rPr>
              <w:t xml:space="preserve">Staff </w:t>
            </w:r>
            <w:r w:rsidR="00DB78DD" w:rsidRPr="002B712E">
              <w:rPr>
                <w:rFonts w:cs="Arial"/>
                <w:sz w:val="20"/>
                <w:lang w:eastAsia="zh-CN"/>
              </w:rPr>
              <w:t>t</w:t>
            </w:r>
            <w:r w:rsidRPr="002B712E">
              <w:rPr>
                <w:rFonts w:cs="Arial"/>
                <w:sz w:val="20"/>
                <w:lang w:eastAsia="zh-CN"/>
              </w:rPr>
              <w:t xml:space="preserve">raining </w:t>
            </w:r>
            <w:r w:rsidR="00DB78DD" w:rsidRPr="002B712E">
              <w:rPr>
                <w:rFonts w:cs="Arial"/>
                <w:sz w:val="20"/>
                <w:lang w:eastAsia="zh-CN"/>
              </w:rPr>
              <w:t>p</w:t>
            </w:r>
            <w:r w:rsidRPr="002B712E">
              <w:rPr>
                <w:rFonts w:cs="Arial"/>
                <w:sz w:val="20"/>
                <w:lang w:eastAsia="zh-CN"/>
              </w:rPr>
              <w:t>rocedure</w:t>
            </w:r>
          </w:p>
        </w:tc>
        <w:tc>
          <w:tcPr>
            <w:tcW w:w="3429" w:type="dxa"/>
          </w:tcPr>
          <w:p w14:paraId="13052AEF" w14:textId="77777777" w:rsidR="00784C48" w:rsidRPr="002B712E" w:rsidRDefault="00784C48" w:rsidP="00784C48">
            <w:pPr>
              <w:rPr>
                <w:rFonts w:cs="Arial"/>
                <w:sz w:val="20"/>
                <w:lang w:eastAsia="zh-CN"/>
              </w:rPr>
            </w:pPr>
          </w:p>
        </w:tc>
      </w:tr>
      <w:tr w:rsidR="00784C48" w:rsidRPr="00784C48" w14:paraId="42C9468A" w14:textId="484CC9E5" w:rsidTr="00575FD2">
        <w:tc>
          <w:tcPr>
            <w:tcW w:w="7028" w:type="dxa"/>
          </w:tcPr>
          <w:p w14:paraId="44EFE8F8" w14:textId="5D546ED2" w:rsidR="00784C48" w:rsidRPr="002B712E" w:rsidRDefault="00575FD2" w:rsidP="00DB78DD">
            <w:pPr>
              <w:rPr>
                <w:rFonts w:cs="Arial"/>
                <w:sz w:val="20"/>
                <w:lang w:eastAsia="zh-CN"/>
              </w:rPr>
            </w:pPr>
            <w:r>
              <w:rPr>
                <w:rFonts w:cs="Arial"/>
                <w:sz w:val="20"/>
                <w:lang w:eastAsia="zh-CN"/>
              </w:rPr>
              <w:t>BC</w:t>
            </w:r>
            <w:r w:rsidR="00784C48" w:rsidRPr="002B712E">
              <w:rPr>
                <w:rFonts w:cs="Arial"/>
                <w:sz w:val="20"/>
                <w:lang w:eastAsia="zh-CN"/>
              </w:rPr>
              <w:t xml:space="preserve"> </w:t>
            </w:r>
            <w:r w:rsidR="00DB78DD" w:rsidRPr="002B712E">
              <w:rPr>
                <w:rFonts w:cs="Arial"/>
                <w:sz w:val="20"/>
                <w:lang w:eastAsia="zh-CN"/>
              </w:rPr>
              <w:t>p</w:t>
            </w:r>
            <w:r w:rsidR="00784C48" w:rsidRPr="002B712E">
              <w:rPr>
                <w:rFonts w:cs="Arial"/>
                <w:sz w:val="20"/>
                <w:lang w:eastAsia="zh-CN"/>
              </w:rPr>
              <w:t xml:space="preserve">urchasing and </w:t>
            </w:r>
            <w:r w:rsidR="00DB78DD" w:rsidRPr="002B712E">
              <w:rPr>
                <w:rFonts w:cs="Arial"/>
                <w:sz w:val="20"/>
                <w:lang w:eastAsia="zh-CN"/>
              </w:rPr>
              <w:t>s</w:t>
            </w:r>
            <w:r w:rsidR="00784C48" w:rsidRPr="002B712E">
              <w:rPr>
                <w:rFonts w:cs="Arial"/>
                <w:sz w:val="20"/>
                <w:lang w:eastAsia="zh-CN"/>
              </w:rPr>
              <w:t xml:space="preserve">upplier </w:t>
            </w:r>
            <w:r w:rsidR="00DB78DD" w:rsidRPr="002B712E">
              <w:rPr>
                <w:rFonts w:cs="Arial"/>
                <w:sz w:val="20"/>
                <w:lang w:eastAsia="zh-CN"/>
              </w:rPr>
              <w:t>e</w:t>
            </w:r>
            <w:r w:rsidR="00784C48" w:rsidRPr="002B712E">
              <w:rPr>
                <w:rFonts w:cs="Arial"/>
                <w:sz w:val="20"/>
                <w:lang w:eastAsia="zh-CN"/>
              </w:rPr>
              <w:t xml:space="preserve">valuation </w:t>
            </w:r>
            <w:r w:rsidR="00DB78DD" w:rsidRPr="002B712E">
              <w:rPr>
                <w:rFonts w:cs="Arial"/>
                <w:sz w:val="20"/>
                <w:lang w:eastAsia="zh-CN"/>
              </w:rPr>
              <w:t>p</w:t>
            </w:r>
            <w:r w:rsidR="00784C48" w:rsidRPr="002B712E">
              <w:rPr>
                <w:rFonts w:cs="Arial"/>
                <w:sz w:val="20"/>
                <w:lang w:eastAsia="zh-CN"/>
              </w:rPr>
              <w:t>rocedures</w:t>
            </w:r>
          </w:p>
        </w:tc>
        <w:tc>
          <w:tcPr>
            <w:tcW w:w="3429" w:type="dxa"/>
          </w:tcPr>
          <w:p w14:paraId="44EA4370" w14:textId="7A416108" w:rsidR="00784C48" w:rsidRPr="002B712E" w:rsidRDefault="00784C48" w:rsidP="00784C48">
            <w:pPr>
              <w:rPr>
                <w:rFonts w:cs="Arial"/>
                <w:sz w:val="20"/>
                <w:lang w:eastAsia="zh-CN"/>
              </w:rPr>
            </w:pPr>
            <w:r w:rsidRPr="002B712E">
              <w:rPr>
                <w:rFonts w:cs="Arial"/>
                <w:sz w:val="20"/>
                <w:lang w:eastAsia="zh-CN"/>
              </w:rPr>
              <w:t xml:space="preserve">This should include </w:t>
            </w:r>
            <w:r w:rsidR="003D71FA" w:rsidRPr="002B712E">
              <w:rPr>
                <w:rFonts w:cs="Arial"/>
                <w:sz w:val="20"/>
                <w:lang w:eastAsia="zh-CN"/>
              </w:rPr>
              <w:t xml:space="preserve">requirements </w:t>
            </w:r>
            <w:r w:rsidRPr="002B712E">
              <w:rPr>
                <w:rFonts w:cs="Arial"/>
                <w:sz w:val="20"/>
                <w:lang w:eastAsia="zh-CN"/>
              </w:rPr>
              <w:t>for obtaining transaction certificates</w:t>
            </w:r>
          </w:p>
        </w:tc>
      </w:tr>
      <w:tr w:rsidR="00784C48" w:rsidRPr="00784C48" w14:paraId="3173D666" w14:textId="6A29F315" w:rsidTr="00575FD2">
        <w:tc>
          <w:tcPr>
            <w:tcW w:w="7028" w:type="dxa"/>
          </w:tcPr>
          <w:p w14:paraId="6DD680F5" w14:textId="77777777" w:rsidR="00575FD2" w:rsidRDefault="00575FD2" w:rsidP="00DB78DD">
            <w:pPr>
              <w:rPr>
                <w:rFonts w:cs="Arial"/>
                <w:sz w:val="20"/>
                <w:lang w:eastAsia="zh-CN"/>
              </w:rPr>
            </w:pPr>
          </w:p>
          <w:p w14:paraId="3EA3EACF" w14:textId="76E561D3" w:rsidR="00784C48" w:rsidRPr="002B712E" w:rsidRDefault="00575FD2" w:rsidP="00DB78DD">
            <w:pPr>
              <w:rPr>
                <w:rFonts w:cs="Arial"/>
                <w:sz w:val="20"/>
                <w:lang w:eastAsia="zh-CN"/>
              </w:rPr>
            </w:pPr>
            <w:r>
              <w:rPr>
                <w:rFonts w:cs="Arial"/>
                <w:sz w:val="20"/>
                <w:lang w:eastAsia="zh-CN"/>
              </w:rPr>
              <w:t>BC</w:t>
            </w:r>
            <w:r w:rsidR="00784C48" w:rsidRPr="002B712E">
              <w:rPr>
                <w:rFonts w:cs="Arial"/>
                <w:sz w:val="20"/>
                <w:lang w:eastAsia="zh-CN"/>
              </w:rPr>
              <w:t xml:space="preserve"> </w:t>
            </w:r>
            <w:r w:rsidR="00DB78DD" w:rsidRPr="002B712E">
              <w:rPr>
                <w:rFonts w:cs="Arial"/>
                <w:sz w:val="20"/>
                <w:lang w:eastAsia="zh-CN"/>
              </w:rPr>
              <w:t>i</w:t>
            </w:r>
            <w:r w:rsidR="00784C48" w:rsidRPr="002B712E">
              <w:rPr>
                <w:rFonts w:cs="Arial"/>
                <w:sz w:val="20"/>
                <w:lang w:eastAsia="zh-CN"/>
              </w:rPr>
              <w:t>nput (</w:t>
            </w:r>
            <w:r w:rsidR="00DB78DD" w:rsidRPr="002B712E">
              <w:rPr>
                <w:rFonts w:cs="Arial"/>
                <w:sz w:val="20"/>
                <w:lang w:eastAsia="zh-CN"/>
              </w:rPr>
              <w:t>i</w:t>
            </w:r>
            <w:r w:rsidR="00784C48" w:rsidRPr="002B712E">
              <w:rPr>
                <w:rFonts w:cs="Arial"/>
                <w:sz w:val="20"/>
                <w:lang w:eastAsia="zh-CN"/>
              </w:rPr>
              <w:t xml:space="preserve">ncoming </w:t>
            </w:r>
            <w:r w:rsidR="00DB78DD" w:rsidRPr="002B712E">
              <w:rPr>
                <w:rFonts w:cs="Arial"/>
                <w:sz w:val="20"/>
                <w:lang w:eastAsia="zh-CN"/>
              </w:rPr>
              <w:t>m</w:t>
            </w:r>
            <w:r w:rsidR="00784C48" w:rsidRPr="002B712E">
              <w:rPr>
                <w:rFonts w:cs="Arial"/>
                <w:sz w:val="20"/>
                <w:lang w:eastAsia="zh-CN"/>
              </w:rPr>
              <w:t xml:space="preserve">aterial) </w:t>
            </w:r>
            <w:r w:rsidR="00DB78DD" w:rsidRPr="002B712E">
              <w:rPr>
                <w:rFonts w:cs="Arial"/>
                <w:sz w:val="20"/>
                <w:lang w:eastAsia="zh-CN"/>
              </w:rPr>
              <w:t>i</w:t>
            </w:r>
            <w:r w:rsidR="00784C48" w:rsidRPr="002B712E">
              <w:rPr>
                <w:rFonts w:cs="Arial"/>
                <w:sz w:val="20"/>
                <w:lang w:eastAsia="zh-CN"/>
              </w:rPr>
              <w:t>nspection</w:t>
            </w:r>
          </w:p>
        </w:tc>
        <w:tc>
          <w:tcPr>
            <w:tcW w:w="3429" w:type="dxa"/>
          </w:tcPr>
          <w:p w14:paraId="665F4CD6" w14:textId="748A7B54" w:rsidR="00784C48" w:rsidRPr="002B712E" w:rsidRDefault="00784C48" w:rsidP="00784C48">
            <w:pPr>
              <w:rPr>
                <w:rFonts w:cs="Arial"/>
                <w:sz w:val="20"/>
                <w:lang w:eastAsia="zh-CN"/>
              </w:rPr>
            </w:pPr>
            <w:r w:rsidRPr="002B712E">
              <w:rPr>
                <w:rFonts w:cs="Arial"/>
                <w:sz w:val="20"/>
                <w:lang w:eastAsia="zh-CN"/>
              </w:rPr>
              <w:t>This should include procedure for inputs that are suspected of non-compliance.</w:t>
            </w:r>
          </w:p>
        </w:tc>
      </w:tr>
      <w:tr w:rsidR="00784C48" w:rsidRPr="00784C48" w14:paraId="245BE341" w14:textId="71139045" w:rsidTr="00575FD2">
        <w:tc>
          <w:tcPr>
            <w:tcW w:w="7028" w:type="dxa"/>
          </w:tcPr>
          <w:p w14:paraId="43F4E0AB" w14:textId="7D35DE28" w:rsidR="00784C48" w:rsidRPr="002B712E" w:rsidRDefault="00575FD2" w:rsidP="00DB78DD">
            <w:pPr>
              <w:rPr>
                <w:rFonts w:cs="Arial"/>
                <w:sz w:val="20"/>
                <w:lang w:eastAsia="zh-CN"/>
              </w:rPr>
            </w:pPr>
            <w:r>
              <w:rPr>
                <w:rFonts w:cs="Arial"/>
                <w:sz w:val="20"/>
                <w:lang w:eastAsia="zh-CN"/>
              </w:rPr>
              <w:t>BC</w:t>
            </w:r>
            <w:r w:rsidR="00784C48" w:rsidRPr="002B712E">
              <w:rPr>
                <w:rFonts w:cs="Arial"/>
                <w:sz w:val="20"/>
                <w:lang w:eastAsia="zh-CN"/>
              </w:rPr>
              <w:t xml:space="preserve"> </w:t>
            </w:r>
            <w:r w:rsidR="00DB78DD" w:rsidRPr="002B712E">
              <w:rPr>
                <w:rFonts w:cs="Arial"/>
                <w:sz w:val="20"/>
                <w:lang w:eastAsia="zh-CN"/>
              </w:rPr>
              <w:t>s</w:t>
            </w:r>
            <w:r w:rsidR="00784C48" w:rsidRPr="002B712E">
              <w:rPr>
                <w:rFonts w:cs="Arial"/>
                <w:sz w:val="20"/>
                <w:lang w:eastAsia="zh-CN"/>
              </w:rPr>
              <w:t xml:space="preserve">ales </w:t>
            </w:r>
            <w:r w:rsidR="00DB78DD" w:rsidRPr="002B712E">
              <w:rPr>
                <w:rFonts w:cs="Arial"/>
                <w:sz w:val="20"/>
                <w:lang w:eastAsia="zh-CN"/>
              </w:rPr>
              <w:t>p</w:t>
            </w:r>
            <w:r w:rsidR="00784C48" w:rsidRPr="002B712E">
              <w:rPr>
                <w:rFonts w:cs="Arial"/>
                <w:sz w:val="20"/>
                <w:lang w:eastAsia="zh-CN"/>
              </w:rPr>
              <w:t>rocedure</w:t>
            </w:r>
          </w:p>
        </w:tc>
        <w:tc>
          <w:tcPr>
            <w:tcW w:w="3429" w:type="dxa"/>
          </w:tcPr>
          <w:p w14:paraId="1692A1CD" w14:textId="77777777" w:rsidR="00784C48" w:rsidRPr="002B712E" w:rsidRDefault="00784C48" w:rsidP="007B202D">
            <w:pPr>
              <w:pStyle w:val="Default"/>
              <w:rPr>
                <w:rFonts w:cs="Arial"/>
                <w:sz w:val="20"/>
              </w:rPr>
            </w:pPr>
          </w:p>
        </w:tc>
      </w:tr>
      <w:tr w:rsidR="00784C48" w:rsidRPr="00784C48" w14:paraId="43AE6C29" w14:textId="5F615CED" w:rsidTr="00575FD2">
        <w:tc>
          <w:tcPr>
            <w:tcW w:w="7028" w:type="dxa"/>
          </w:tcPr>
          <w:p w14:paraId="14F986A0" w14:textId="5A9B0A3F" w:rsidR="00784C48" w:rsidRPr="002B712E" w:rsidRDefault="00784C48" w:rsidP="00DB78DD">
            <w:pPr>
              <w:rPr>
                <w:rFonts w:cs="Arial"/>
                <w:sz w:val="20"/>
                <w:lang w:eastAsia="zh-CN"/>
              </w:rPr>
            </w:pPr>
            <w:r w:rsidRPr="002B712E">
              <w:rPr>
                <w:rFonts w:cs="Arial"/>
                <w:sz w:val="20"/>
                <w:lang w:eastAsia="zh-CN"/>
              </w:rPr>
              <w:t>Subcontractor</w:t>
            </w:r>
            <w:r w:rsidR="003D71FA" w:rsidRPr="002B712E">
              <w:rPr>
                <w:rFonts w:cs="Arial"/>
                <w:sz w:val="20"/>
                <w:lang w:eastAsia="zh-CN"/>
              </w:rPr>
              <w:t xml:space="preserve"> </w:t>
            </w:r>
            <w:r w:rsidR="0027518B">
              <w:rPr>
                <w:rFonts w:cs="Arial"/>
                <w:sz w:val="20"/>
                <w:lang w:eastAsia="zh-CN"/>
              </w:rPr>
              <w:t>m</w:t>
            </w:r>
            <w:r w:rsidR="003D71FA" w:rsidRPr="002B712E">
              <w:rPr>
                <w:rFonts w:cs="Arial"/>
                <w:sz w:val="20"/>
                <w:lang w:eastAsia="zh-CN"/>
              </w:rPr>
              <w:t>anagement</w:t>
            </w:r>
            <w:r w:rsidR="00F75D11" w:rsidRPr="002B712E">
              <w:rPr>
                <w:rFonts w:cs="Arial"/>
                <w:sz w:val="20"/>
                <w:lang w:eastAsia="zh-CN"/>
              </w:rPr>
              <w:t xml:space="preserve"> </w:t>
            </w:r>
            <w:r w:rsidR="0027518B">
              <w:rPr>
                <w:rFonts w:cs="Arial"/>
                <w:sz w:val="20"/>
                <w:lang w:eastAsia="zh-CN"/>
              </w:rPr>
              <w:t>p</w:t>
            </w:r>
            <w:r w:rsidR="00F75D11" w:rsidRPr="002B712E">
              <w:rPr>
                <w:rFonts w:cs="Arial"/>
                <w:sz w:val="20"/>
                <w:lang w:eastAsia="zh-CN"/>
              </w:rPr>
              <w:t>rocedure</w:t>
            </w:r>
          </w:p>
        </w:tc>
        <w:tc>
          <w:tcPr>
            <w:tcW w:w="3429" w:type="dxa"/>
          </w:tcPr>
          <w:p w14:paraId="3536D780" w14:textId="77777777" w:rsidR="00784C48" w:rsidRPr="002B712E" w:rsidRDefault="00784C48" w:rsidP="00784C48">
            <w:pPr>
              <w:rPr>
                <w:rFonts w:cs="Arial"/>
                <w:sz w:val="20"/>
                <w:lang w:eastAsia="zh-CN"/>
              </w:rPr>
            </w:pPr>
          </w:p>
        </w:tc>
      </w:tr>
      <w:tr w:rsidR="005904B1" w:rsidRPr="00784C48" w14:paraId="43524EEE" w14:textId="77777777" w:rsidTr="00575FD2">
        <w:tc>
          <w:tcPr>
            <w:tcW w:w="7028" w:type="dxa"/>
          </w:tcPr>
          <w:p w14:paraId="5308B4B2" w14:textId="47AACF83" w:rsidR="005904B1" w:rsidRPr="002B712E" w:rsidRDefault="005904B1" w:rsidP="00DB78DD">
            <w:pPr>
              <w:rPr>
                <w:rFonts w:cs="Arial"/>
                <w:sz w:val="20"/>
                <w:lang w:eastAsia="zh-CN"/>
              </w:rPr>
            </w:pPr>
            <w:r>
              <w:rPr>
                <w:sz w:val="20"/>
              </w:rPr>
              <w:t>Records of Subcontractor Contracts / Agreements</w:t>
            </w:r>
          </w:p>
        </w:tc>
        <w:tc>
          <w:tcPr>
            <w:tcW w:w="3429" w:type="dxa"/>
          </w:tcPr>
          <w:p w14:paraId="1008F958" w14:textId="77777777" w:rsidR="005904B1" w:rsidRPr="002B712E" w:rsidRDefault="005904B1" w:rsidP="00784C48">
            <w:pPr>
              <w:rPr>
                <w:rFonts w:cs="Arial"/>
                <w:sz w:val="20"/>
                <w:lang w:eastAsia="zh-CN"/>
              </w:rPr>
            </w:pPr>
          </w:p>
        </w:tc>
      </w:tr>
      <w:tr w:rsidR="00784C48" w:rsidRPr="00784C48" w14:paraId="400A94A0" w14:textId="13F61674" w:rsidTr="00575FD2">
        <w:tc>
          <w:tcPr>
            <w:tcW w:w="7028" w:type="dxa"/>
          </w:tcPr>
          <w:p w14:paraId="1578380A" w14:textId="2E3912F1" w:rsidR="00784C48" w:rsidRPr="002B712E" w:rsidRDefault="00784C48" w:rsidP="00DB78DD">
            <w:pPr>
              <w:rPr>
                <w:rFonts w:cs="Arial"/>
                <w:sz w:val="20"/>
                <w:lang w:eastAsia="zh-CN"/>
              </w:rPr>
            </w:pPr>
            <w:r w:rsidRPr="002B712E">
              <w:rPr>
                <w:rFonts w:cs="Arial"/>
                <w:sz w:val="20"/>
                <w:lang w:eastAsia="zh-CN"/>
              </w:rPr>
              <w:t xml:space="preserve">Production </w:t>
            </w:r>
            <w:r w:rsidR="0027518B">
              <w:rPr>
                <w:rFonts w:cs="Arial"/>
                <w:sz w:val="20"/>
                <w:lang w:eastAsia="zh-CN"/>
              </w:rPr>
              <w:t>m</w:t>
            </w:r>
            <w:r w:rsidR="0027518B" w:rsidRPr="002B712E">
              <w:rPr>
                <w:rFonts w:cs="Arial"/>
                <w:sz w:val="20"/>
                <w:lang w:eastAsia="zh-CN"/>
              </w:rPr>
              <w:t>anagement</w:t>
            </w:r>
          </w:p>
        </w:tc>
        <w:tc>
          <w:tcPr>
            <w:tcW w:w="3429" w:type="dxa"/>
          </w:tcPr>
          <w:p w14:paraId="62C82885" w14:textId="77777777" w:rsidR="00784C48" w:rsidRPr="002B712E" w:rsidRDefault="00784C48" w:rsidP="00784C48">
            <w:pPr>
              <w:rPr>
                <w:rFonts w:cs="Arial"/>
                <w:sz w:val="20"/>
                <w:lang w:eastAsia="zh-CN"/>
              </w:rPr>
            </w:pPr>
          </w:p>
        </w:tc>
      </w:tr>
      <w:tr w:rsidR="00784C48" w:rsidRPr="00784C48" w14:paraId="71A1F9F8" w14:textId="33C761FD" w:rsidTr="00575FD2">
        <w:tc>
          <w:tcPr>
            <w:tcW w:w="7028" w:type="dxa"/>
          </w:tcPr>
          <w:p w14:paraId="70F4926B" w14:textId="5C1D2878" w:rsidR="00784C48" w:rsidRPr="002B712E" w:rsidRDefault="00784C48" w:rsidP="00DB78DD">
            <w:pPr>
              <w:pStyle w:val="ListParagraph"/>
              <w:numPr>
                <w:ilvl w:val="0"/>
                <w:numId w:val="14"/>
              </w:numPr>
              <w:rPr>
                <w:rFonts w:cs="Arial"/>
                <w:sz w:val="20"/>
                <w:lang w:eastAsia="zh-CN"/>
              </w:rPr>
            </w:pPr>
            <w:r w:rsidRPr="002B712E">
              <w:rPr>
                <w:rFonts w:cs="Arial"/>
                <w:sz w:val="20"/>
                <w:lang w:val="ru-RU" w:eastAsia="zh-CN"/>
              </w:rPr>
              <w:t>Pro</w:t>
            </w:r>
            <w:r w:rsidRPr="002B712E">
              <w:rPr>
                <w:rFonts w:cs="Arial"/>
                <w:sz w:val="20"/>
                <w:lang w:eastAsia="zh-CN"/>
              </w:rPr>
              <w:t>duction Order</w:t>
            </w:r>
            <w:r w:rsidR="00133524">
              <w:rPr>
                <w:rFonts w:cs="Arial"/>
                <w:sz w:val="20"/>
                <w:lang w:eastAsia="zh-CN"/>
              </w:rPr>
              <w:t>/Records</w:t>
            </w:r>
            <w:r w:rsidRPr="002B712E">
              <w:rPr>
                <w:rFonts w:cs="Arial"/>
                <w:sz w:val="20"/>
                <w:lang w:eastAsia="zh-CN"/>
              </w:rPr>
              <w:t xml:space="preserve"> </w:t>
            </w:r>
            <w:r w:rsidR="0027518B">
              <w:rPr>
                <w:rFonts w:cs="Arial"/>
                <w:sz w:val="20"/>
                <w:lang w:eastAsia="zh-CN"/>
              </w:rPr>
              <w:t>p</w:t>
            </w:r>
            <w:r w:rsidR="0027518B" w:rsidRPr="002B712E">
              <w:rPr>
                <w:rFonts w:cs="Arial"/>
                <w:sz w:val="20"/>
                <w:lang w:eastAsia="zh-CN"/>
              </w:rPr>
              <w:t>rocedure</w:t>
            </w:r>
          </w:p>
        </w:tc>
        <w:tc>
          <w:tcPr>
            <w:tcW w:w="3429" w:type="dxa"/>
          </w:tcPr>
          <w:p w14:paraId="0307016D" w14:textId="77777777" w:rsidR="00784C48" w:rsidRPr="002B712E" w:rsidRDefault="00784C48" w:rsidP="00784C48">
            <w:pPr>
              <w:rPr>
                <w:rFonts w:cs="Arial"/>
                <w:sz w:val="20"/>
                <w:lang w:val="ru-RU" w:eastAsia="zh-CN"/>
              </w:rPr>
            </w:pPr>
          </w:p>
        </w:tc>
      </w:tr>
      <w:tr w:rsidR="00784C48" w:rsidRPr="00784C48" w14:paraId="0232FC80" w14:textId="3ECE7642" w:rsidTr="00575FD2">
        <w:tc>
          <w:tcPr>
            <w:tcW w:w="7028" w:type="dxa"/>
          </w:tcPr>
          <w:p w14:paraId="6DFF9CE5" w14:textId="77777777" w:rsidR="00784C48" w:rsidRPr="002B712E" w:rsidRDefault="00784C48" w:rsidP="00DB78DD">
            <w:pPr>
              <w:pStyle w:val="ListParagraph"/>
              <w:numPr>
                <w:ilvl w:val="0"/>
                <w:numId w:val="14"/>
              </w:numPr>
              <w:rPr>
                <w:rFonts w:cs="Arial"/>
                <w:sz w:val="20"/>
                <w:lang w:eastAsia="zh-CN"/>
              </w:rPr>
            </w:pPr>
            <w:r w:rsidRPr="002B712E">
              <w:rPr>
                <w:rFonts w:cs="Arial"/>
                <w:sz w:val="20"/>
                <w:lang w:eastAsia="zh-CN"/>
              </w:rPr>
              <w:t>Internal Traceability</w:t>
            </w:r>
          </w:p>
        </w:tc>
        <w:tc>
          <w:tcPr>
            <w:tcW w:w="3429" w:type="dxa"/>
          </w:tcPr>
          <w:p w14:paraId="119B9CA5" w14:textId="77777777" w:rsidR="00784C48" w:rsidRPr="002B712E" w:rsidRDefault="00784C48" w:rsidP="00784C48">
            <w:pPr>
              <w:rPr>
                <w:rFonts w:cs="Arial"/>
                <w:sz w:val="20"/>
                <w:lang w:eastAsia="zh-CN"/>
              </w:rPr>
            </w:pPr>
          </w:p>
        </w:tc>
      </w:tr>
      <w:tr w:rsidR="003D71FA" w:rsidRPr="00784C48" w14:paraId="456DCD3E" w14:textId="77777777" w:rsidTr="00575FD2">
        <w:tc>
          <w:tcPr>
            <w:tcW w:w="7028" w:type="dxa"/>
          </w:tcPr>
          <w:p w14:paraId="1F23CAD8" w14:textId="460208FA" w:rsidR="003D71FA" w:rsidRPr="002B712E" w:rsidRDefault="003D71FA" w:rsidP="00DB78DD">
            <w:pPr>
              <w:pStyle w:val="ListParagraph"/>
              <w:numPr>
                <w:ilvl w:val="0"/>
                <w:numId w:val="14"/>
              </w:numPr>
              <w:rPr>
                <w:rFonts w:cs="Arial"/>
                <w:sz w:val="20"/>
                <w:lang w:eastAsia="zh-CN"/>
              </w:rPr>
            </w:pPr>
            <w:r w:rsidRPr="002B712E">
              <w:rPr>
                <w:rFonts w:cs="Arial"/>
                <w:sz w:val="20"/>
                <w:lang w:eastAsia="zh-CN"/>
              </w:rPr>
              <w:t>Chemical Use</w:t>
            </w:r>
          </w:p>
        </w:tc>
        <w:tc>
          <w:tcPr>
            <w:tcW w:w="3429" w:type="dxa"/>
          </w:tcPr>
          <w:p w14:paraId="3B29960A" w14:textId="77777777" w:rsidR="003D71FA" w:rsidRPr="002B712E" w:rsidRDefault="003D71FA" w:rsidP="00784C48">
            <w:pPr>
              <w:rPr>
                <w:rFonts w:cs="Arial"/>
                <w:sz w:val="20"/>
                <w:lang w:eastAsia="zh-CN"/>
              </w:rPr>
            </w:pPr>
          </w:p>
        </w:tc>
      </w:tr>
      <w:tr w:rsidR="003D71FA" w:rsidRPr="00784C48" w14:paraId="59C34F95" w14:textId="77777777" w:rsidTr="00575FD2">
        <w:tc>
          <w:tcPr>
            <w:tcW w:w="7028" w:type="dxa"/>
          </w:tcPr>
          <w:p w14:paraId="5A016114" w14:textId="0F3F42E3" w:rsidR="003D71FA" w:rsidRPr="002B712E" w:rsidRDefault="00043C9B" w:rsidP="00DB78DD">
            <w:pPr>
              <w:pStyle w:val="ListParagraph"/>
              <w:numPr>
                <w:ilvl w:val="0"/>
                <w:numId w:val="14"/>
              </w:numPr>
              <w:rPr>
                <w:rFonts w:cs="Arial"/>
                <w:sz w:val="20"/>
                <w:lang w:eastAsia="zh-CN"/>
              </w:rPr>
            </w:pPr>
            <w:r>
              <w:rPr>
                <w:rFonts w:cs="Arial"/>
                <w:sz w:val="20"/>
                <w:lang w:eastAsia="zh-CN"/>
              </w:rPr>
              <w:t>Volume Reconciliation</w:t>
            </w:r>
          </w:p>
        </w:tc>
        <w:tc>
          <w:tcPr>
            <w:tcW w:w="3429" w:type="dxa"/>
          </w:tcPr>
          <w:p w14:paraId="01F61D01" w14:textId="77777777" w:rsidR="003D71FA" w:rsidRPr="002B712E" w:rsidRDefault="003D71FA" w:rsidP="00784C48">
            <w:pPr>
              <w:rPr>
                <w:rFonts w:cs="Arial"/>
                <w:sz w:val="20"/>
                <w:lang w:eastAsia="zh-CN"/>
              </w:rPr>
            </w:pPr>
          </w:p>
        </w:tc>
      </w:tr>
      <w:tr w:rsidR="00784C48" w:rsidRPr="00784C48" w14:paraId="1101FB5D" w14:textId="19D5282E" w:rsidTr="00575FD2">
        <w:tc>
          <w:tcPr>
            <w:tcW w:w="7028" w:type="dxa"/>
          </w:tcPr>
          <w:p w14:paraId="790D5EFD" w14:textId="4B7623A9" w:rsidR="00784C48" w:rsidRPr="002B712E" w:rsidRDefault="00784C48" w:rsidP="00DB78DD">
            <w:pPr>
              <w:pStyle w:val="ListParagraph"/>
              <w:numPr>
                <w:ilvl w:val="0"/>
                <w:numId w:val="14"/>
              </w:numPr>
              <w:rPr>
                <w:rFonts w:cs="Arial"/>
                <w:sz w:val="20"/>
                <w:lang w:eastAsia="zh-CN"/>
              </w:rPr>
            </w:pPr>
            <w:r w:rsidRPr="002B712E">
              <w:rPr>
                <w:rFonts w:cs="Arial"/>
                <w:sz w:val="20"/>
                <w:lang w:eastAsia="zh-CN"/>
              </w:rPr>
              <w:t xml:space="preserve">Cleaning </w:t>
            </w:r>
            <w:r w:rsidR="0027518B">
              <w:rPr>
                <w:rFonts w:cs="Arial"/>
                <w:sz w:val="20"/>
                <w:lang w:eastAsia="zh-CN"/>
              </w:rPr>
              <w:t>p</w:t>
            </w:r>
            <w:r w:rsidR="0027518B" w:rsidRPr="002B712E">
              <w:rPr>
                <w:rFonts w:cs="Arial"/>
                <w:sz w:val="20"/>
                <w:lang w:eastAsia="zh-CN"/>
              </w:rPr>
              <w:t>rocedure</w:t>
            </w:r>
          </w:p>
        </w:tc>
        <w:tc>
          <w:tcPr>
            <w:tcW w:w="3429" w:type="dxa"/>
          </w:tcPr>
          <w:p w14:paraId="21733611" w14:textId="77777777" w:rsidR="00784C48" w:rsidRPr="002B712E" w:rsidRDefault="00784C48" w:rsidP="00784C48">
            <w:pPr>
              <w:rPr>
                <w:rFonts w:cs="Arial"/>
                <w:sz w:val="20"/>
                <w:lang w:eastAsia="zh-CN"/>
              </w:rPr>
            </w:pPr>
          </w:p>
        </w:tc>
      </w:tr>
      <w:tr w:rsidR="00784C48" w:rsidRPr="00784C48" w14:paraId="7E406118" w14:textId="5BEDFD58" w:rsidTr="00575FD2">
        <w:tc>
          <w:tcPr>
            <w:tcW w:w="7028" w:type="dxa"/>
          </w:tcPr>
          <w:p w14:paraId="1414D51C" w14:textId="16C36364" w:rsidR="00784C48" w:rsidRPr="002B712E" w:rsidRDefault="00784C48" w:rsidP="00DB78DD">
            <w:pPr>
              <w:rPr>
                <w:rFonts w:cs="Arial"/>
                <w:sz w:val="20"/>
                <w:lang w:eastAsia="zh-CN"/>
              </w:rPr>
            </w:pPr>
            <w:r w:rsidRPr="002B712E">
              <w:rPr>
                <w:rFonts w:cs="Arial"/>
                <w:sz w:val="20"/>
                <w:lang w:eastAsia="zh-CN"/>
              </w:rPr>
              <w:t xml:space="preserve">Quality </w:t>
            </w:r>
            <w:r w:rsidR="0027518B">
              <w:rPr>
                <w:rFonts w:cs="Arial"/>
                <w:sz w:val="20"/>
                <w:lang w:eastAsia="zh-CN"/>
              </w:rPr>
              <w:t>m</w:t>
            </w:r>
            <w:r w:rsidR="0027518B" w:rsidRPr="002B712E">
              <w:rPr>
                <w:rFonts w:cs="Arial"/>
                <w:sz w:val="20"/>
                <w:lang w:eastAsia="zh-CN"/>
              </w:rPr>
              <w:t xml:space="preserve">anagement </w:t>
            </w:r>
            <w:r w:rsidR="0027518B">
              <w:rPr>
                <w:rFonts w:cs="Arial"/>
                <w:sz w:val="20"/>
                <w:lang w:eastAsia="zh-CN"/>
              </w:rPr>
              <w:t>p</w:t>
            </w:r>
            <w:r w:rsidR="0027518B" w:rsidRPr="002B712E">
              <w:rPr>
                <w:rFonts w:cs="Arial"/>
                <w:sz w:val="20"/>
                <w:lang w:eastAsia="zh-CN"/>
              </w:rPr>
              <w:t>rocedure</w:t>
            </w:r>
          </w:p>
        </w:tc>
        <w:tc>
          <w:tcPr>
            <w:tcW w:w="3429" w:type="dxa"/>
          </w:tcPr>
          <w:p w14:paraId="541D0AA2" w14:textId="77777777" w:rsidR="00784C48" w:rsidRPr="002B712E" w:rsidRDefault="00784C48" w:rsidP="00784C48">
            <w:pPr>
              <w:rPr>
                <w:rFonts w:cs="Arial"/>
                <w:sz w:val="20"/>
                <w:lang w:eastAsia="zh-CN"/>
              </w:rPr>
            </w:pPr>
          </w:p>
        </w:tc>
      </w:tr>
      <w:tr w:rsidR="00DB78DD" w:rsidRPr="00784C48" w14:paraId="334A776F" w14:textId="77777777" w:rsidTr="00575FD2">
        <w:tc>
          <w:tcPr>
            <w:tcW w:w="7028" w:type="dxa"/>
          </w:tcPr>
          <w:p w14:paraId="326F3E27" w14:textId="2697A538" w:rsidR="00DB78DD" w:rsidRPr="002B712E" w:rsidRDefault="00DB78DD" w:rsidP="00DB78DD">
            <w:pPr>
              <w:rPr>
                <w:rFonts w:cs="Arial"/>
                <w:sz w:val="20"/>
                <w:lang w:eastAsia="zh-CN"/>
              </w:rPr>
            </w:pPr>
            <w:r w:rsidRPr="002B712E">
              <w:rPr>
                <w:rFonts w:cs="Arial"/>
                <w:sz w:val="20"/>
                <w:lang w:eastAsia="zh-CN"/>
              </w:rPr>
              <w:t>Storing procedure</w:t>
            </w:r>
            <w:r w:rsidR="005904B1">
              <w:rPr>
                <w:rFonts w:cs="Arial"/>
                <w:sz w:val="20"/>
                <w:lang w:eastAsia="zh-CN"/>
              </w:rPr>
              <w:t>, packings procedure, transportation procedure.</w:t>
            </w:r>
          </w:p>
        </w:tc>
        <w:tc>
          <w:tcPr>
            <w:tcW w:w="3429" w:type="dxa"/>
          </w:tcPr>
          <w:p w14:paraId="70B03768" w14:textId="77777777" w:rsidR="00DB78DD" w:rsidRPr="002B712E" w:rsidRDefault="00DB78DD" w:rsidP="00784C48">
            <w:pPr>
              <w:rPr>
                <w:rFonts w:cs="Arial"/>
                <w:sz w:val="20"/>
                <w:lang w:eastAsia="zh-CN"/>
              </w:rPr>
            </w:pPr>
          </w:p>
        </w:tc>
      </w:tr>
      <w:tr w:rsidR="004E6BD4" w:rsidRPr="00784C48" w14:paraId="1985AB73" w14:textId="77777777" w:rsidTr="00575FD2">
        <w:tc>
          <w:tcPr>
            <w:tcW w:w="7028" w:type="dxa"/>
          </w:tcPr>
          <w:p w14:paraId="3BB9D443" w14:textId="40DC99B7" w:rsidR="004E6BD4" w:rsidRPr="004E6BD4" w:rsidRDefault="004E6BD4" w:rsidP="004E6BD4">
            <w:pPr>
              <w:pStyle w:val="Default"/>
              <w:rPr>
                <w:sz w:val="20"/>
              </w:rPr>
            </w:pPr>
            <w:r>
              <w:rPr>
                <w:sz w:val="20"/>
                <w:szCs w:val="20"/>
              </w:rPr>
              <w:t>Records of raw material inspection</w:t>
            </w:r>
          </w:p>
        </w:tc>
        <w:tc>
          <w:tcPr>
            <w:tcW w:w="3429" w:type="dxa"/>
          </w:tcPr>
          <w:p w14:paraId="6310E09C" w14:textId="77777777" w:rsidR="004E6BD4" w:rsidRPr="002B712E" w:rsidRDefault="004E6BD4" w:rsidP="00784C48">
            <w:pPr>
              <w:rPr>
                <w:rFonts w:cs="Arial"/>
                <w:sz w:val="20"/>
                <w:lang w:eastAsia="zh-CN"/>
              </w:rPr>
            </w:pPr>
          </w:p>
        </w:tc>
      </w:tr>
      <w:tr w:rsidR="00784C48" w:rsidRPr="00784C48" w14:paraId="590A2984" w14:textId="05D85234" w:rsidTr="00575FD2">
        <w:tc>
          <w:tcPr>
            <w:tcW w:w="7028" w:type="dxa"/>
          </w:tcPr>
          <w:p w14:paraId="13AFC44B" w14:textId="4DDC4A4B" w:rsidR="00784C48" w:rsidRPr="002B712E" w:rsidRDefault="00784C48" w:rsidP="00DB78DD">
            <w:pPr>
              <w:rPr>
                <w:rFonts w:cs="Arial"/>
                <w:sz w:val="20"/>
                <w:lang w:eastAsia="zh-CN"/>
              </w:rPr>
            </w:pPr>
            <w:r w:rsidRPr="002B712E">
              <w:rPr>
                <w:rFonts w:cs="Arial"/>
                <w:sz w:val="20"/>
                <w:lang w:eastAsia="zh-CN"/>
              </w:rPr>
              <w:t xml:space="preserve">Transporting </w:t>
            </w:r>
            <w:r w:rsidR="00DB78DD" w:rsidRPr="002B712E">
              <w:rPr>
                <w:rFonts w:cs="Arial"/>
                <w:sz w:val="20"/>
                <w:lang w:eastAsia="zh-CN"/>
              </w:rPr>
              <w:t>p</w:t>
            </w:r>
            <w:r w:rsidRPr="002B712E">
              <w:rPr>
                <w:rFonts w:cs="Arial"/>
                <w:sz w:val="20"/>
                <w:lang w:eastAsia="zh-CN"/>
              </w:rPr>
              <w:t>rocedure</w:t>
            </w:r>
          </w:p>
        </w:tc>
        <w:tc>
          <w:tcPr>
            <w:tcW w:w="3429" w:type="dxa"/>
          </w:tcPr>
          <w:p w14:paraId="56D639FB" w14:textId="77777777" w:rsidR="00784C48" w:rsidRPr="002B712E" w:rsidRDefault="00784C48" w:rsidP="00784C48">
            <w:pPr>
              <w:rPr>
                <w:rFonts w:cs="Arial"/>
                <w:sz w:val="20"/>
                <w:lang w:eastAsia="zh-CN"/>
              </w:rPr>
            </w:pPr>
          </w:p>
        </w:tc>
      </w:tr>
      <w:tr w:rsidR="003D71FA" w:rsidRPr="00784C48" w14:paraId="79B50B03" w14:textId="77777777" w:rsidTr="00575FD2">
        <w:tc>
          <w:tcPr>
            <w:tcW w:w="7028" w:type="dxa"/>
          </w:tcPr>
          <w:p w14:paraId="4DC591E0" w14:textId="69D8FA0C" w:rsidR="003D71FA" w:rsidRPr="002B712E" w:rsidRDefault="005D1E4A" w:rsidP="00DB78DD">
            <w:pPr>
              <w:rPr>
                <w:rFonts w:cs="Arial"/>
                <w:sz w:val="20"/>
                <w:lang w:eastAsia="zh-CN"/>
              </w:rPr>
            </w:pPr>
            <w:r>
              <w:rPr>
                <w:rFonts w:cs="Arial"/>
                <w:sz w:val="20"/>
                <w:lang w:eastAsia="zh-CN"/>
              </w:rPr>
              <w:t xml:space="preserve">Volume reconciliation </w:t>
            </w:r>
            <w:r w:rsidR="00546B0E">
              <w:rPr>
                <w:rFonts w:cs="Arial"/>
                <w:sz w:val="20"/>
                <w:lang w:eastAsia="zh-CN"/>
              </w:rPr>
              <w:t xml:space="preserve">review </w:t>
            </w:r>
            <w:r w:rsidR="003D71FA" w:rsidRPr="002B712E">
              <w:rPr>
                <w:rFonts w:cs="Arial"/>
                <w:sz w:val="20"/>
                <w:lang w:eastAsia="zh-CN"/>
              </w:rPr>
              <w:t xml:space="preserve">and </w:t>
            </w:r>
            <w:r w:rsidR="00DB78DD" w:rsidRPr="002B712E">
              <w:rPr>
                <w:rFonts w:cs="Arial"/>
                <w:sz w:val="20"/>
                <w:lang w:eastAsia="zh-CN"/>
              </w:rPr>
              <w:t>m</w:t>
            </w:r>
            <w:r w:rsidR="003D71FA" w:rsidRPr="002B712E">
              <w:rPr>
                <w:rFonts w:cs="Arial"/>
                <w:sz w:val="20"/>
                <w:lang w:eastAsia="zh-CN"/>
              </w:rPr>
              <w:t>anagement</w:t>
            </w:r>
          </w:p>
        </w:tc>
        <w:tc>
          <w:tcPr>
            <w:tcW w:w="3429" w:type="dxa"/>
          </w:tcPr>
          <w:p w14:paraId="2F7A1644" w14:textId="77777777" w:rsidR="003D71FA" w:rsidRPr="002B712E" w:rsidRDefault="003D71FA" w:rsidP="00784C48">
            <w:pPr>
              <w:rPr>
                <w:rFonts w:cs="Arial"/>
                <w:sz w:val="20"/>
                <w:lang w:eastAsia="zh-CN"/>
              </w:rPr>
            </w:pPr>
          </w:p>
        </w:tc>
      </w:tr>
      <w:tr w:rsidR="00546B0E" w:rsidRPr="00784C48" w14:paraId="3A7222BF" w14:textId="77777777" w:rsidTr="00575FD2">
        <w:tc>
          <w:tcPr>
            <w:tcW w:w="7028" w:type="dxa"/>
          </w:tcPr>
          <w:p w14:paraId="3E119CA8" w14:textId="75E5725E" w:rsidR="00546B0E" w:rsidRDefault="00546B0E" w:rsidP="00142798">
            <w:pPr>
              <w:rPr>
                <w:rFonts w:cs="Arial"/>
                <w:sz w:val="20"/>
                <w:lang w:eastAsia="zh-CN"/>
              </w:rPr>
            </w:pPr>
            <w:r w:rsidRPr="00546B0E">
              <w:rPr>
                <w:rFonts w:cs="Arial"/>
                <w:sz w:val="20"/>
                <w:lang w:eastAsia="zh-CN"/>
              </w:rPr>
              <w:t xml:space="preserve">Demonstration of </w:t>
            </w:r>
            <w:r>
              <w:rPr>
                <w:rFonts w:cs="Arial"/>
                <w:sz w:val="20"/>
                <w:lang w:eastAsia="zh-CN"/>
              </w:rPr>
              <w:t>BC</w:t>
            </w:r>
            <w:r w:rsidRPr="00546B0E">
              <w:rPr>
                <w:rFonts w:cs="Arial"/>
                <w:sz w:val="20"/>
                <w:lang w:eastAsia="zh-CN"/>
              </w:rPr>
              <w:t xml:space="preserve"> signage to indicate “</w:t>
            </w:r>
            <w:r>
              <w:rPr>
                <w:rFonts w:cs="Arial"/>
                <w:sz w:val="20"/>
                <w:lang w:eastAsia="zh-CN"/>
              </w:rPr>
              <w:t>BC</w:t>
            </w:r>
            <w:r w:rsidRPr="00546B0E">
              <w:rPr>
                <w:rFonts w:cs="Arial"/>
                <w:sz w:val="20"/>
                <w:lang w:eastAsia="zh-CN"/>
              </w:rPr>
              <w:t xml:space="preserve"> Materials” / “</w:t>
            </w:r>
            <w:r>
              <w:rPr>
                <w:rFonts w:cs="Arial"/>
                <w:sz w:val="20"/>
                <w:lang w:eastAsia="zh-CN"/>
              </w:rPr>
              <w:t>BC</w:t>
            </w:r>
            <w:r w:rsidRPr="00546B0E">
              <w:rPr>
                <w:rFonts w:cs="Arial"/>
                <w:sz w:val="20"/>
                <w:lang w:eastAsia="zh-CN"/>
              </w:rPr>
              <w:t xml:space="preserve"> Products” for storage areas or other methods of</w:t>
            </w:r>
            <w:r>
              <w:rPr>
                <w:rFonts w:cs="Arial"/>
                <w:sz w:val="20"/>
                <w:lang w:eastAsia="zh-CN"/>
              </w:rPr>
              <w:t xml:space="preserve"> </w:t>
            </w:r>
            <w:r w:rsidRPr="00546B0E">
              <w:rPr>
                <w:rFonts w:cs="Arial"/>
                <w:sz w:val="20"/>
                <w:lang w:eastAsia="zh-CN"/>
              </w:rPr>
              <w:t>segregation (bag / box color, special tags, stickers, etc.)</w:t>
            </w:r>
            <w:r w:rsidR="00142798">
              <w:rPr>
                <w:rFonts w:cs="Arial"/>
                <w:sz w:val="20"/>
                <w:lang w:eastAsia="zh-CN"/>
              </w:rPr>
              <w:t xml:space="preserve"> </w:t>
            </w:r>
          </w:p>
        </w:tc>
        <w:tc>
          <w:tcPr>
            <w:tcW w:w="3429" w:type="dxa"/>
          </w:tcPr>
          <w:p w14:paraId="44B3A29C" w14:textId="77777777" w:rsidR="00546B0E" w:rsidRPr="002B712E" w:rsidRDefault="00546B0E" w:rsidP="00784C48">
            <w:pPr>
              <w:rPr>
                <w:rFonts w:cs="Arial"/>
                <w:sz w:val="20"/>
                <w:lang w:eastAsia="zh-CN"/>
              </w:rPr>
            </w:pPr>
          </w:p>
        </w:tc>
      </w:tr>
      <w:tr w:rsidR="00142798" w:rsidRPr="00784C48" w14:paraId="6FBE078E" w14:textId="77777777" w:rsidTr="00575FD2">
        <w:tc>
          <w:tcPr>
            <w:tcW w:w="7028" w:type="dxa"/>
          </w:tcPr>
          <w:p w14:paraId="50D6A7E1" w14:textId="7193BC90" w:rsidR="00142798" w:rsidRPr="00142798" w:rsidRDefault="00142798" w:rsidP="00142798">
            <w:pPr>
              <w:rPr>
                <w:sz w:val="20"/>
              </w:rPr>
            </w:pPr>
            <w:r w:rsidRPr="00546B0E">
              <w:rPr>
                <w:rFonts w:cs="Arial"/>
                <w:sz w:val="20"/>
                <w:lang w:eastAsia="zh-CN"/>
              </w:rPr>
              <w:t xml:space="preserve">Demonstration of internal </w:t>
            </w:r>
            <w:r>
              <w:rPr>
                <w:rFonts w:cs="Arial"/>
                <w:sz w:val="20"/>
                <w:lang w:eastAsia="zh-CN"/>
              </w:rPr>
              <w:t>BC</w:t>
            </w:r>
            <w:r w:rsidRPr="00546B0E">
              <w:rPr>
                <w:rFonts w:cs="Arial"/>
                <w:sz w:val="20"/>
                <w:lang w:eastAsia="zh-CN"/>
              </w:rPr>
              <w:t xml:space="preserve"> identification, such as tags</w:t>
            </w:r>
            <w:r>
              <w:rPr>
                <w:rFonts w:cs="Arial"/>
                <w:sz w:val="20"/>
                <w:lang w:eastAsia="zh-CN"/>
              </w:rPr>
              <w:t xml:space="preserve"> </w:t>
            </w:r>
            <w:r>
              <w:rPr>
                <w:sz w:val="20"/>
              </w:rPr>
              <w:t xml:space="preserve">and labelling methods with product description, batch numbers, production lots, etc. </w:t>
            </w:r>
          </w:p>
        </w:tc>
        <w:tc>
          <w:tcPr>
            <w:tcW w:w="3429" w:type="dxa"/>
          </w:tcPr>
          <w:p w14:paraId="55F33ED3" w14:textId="77777777" w:rsidR="00142798" w:rsidRPr="002B712E" w:rsidRDefault="00142798" w:rsidP="00784C48">
            <w:pPr>
              <w:rPr>
                <w:rFonts w:cs="Arial"/>
                <w:sz w:val="20"/>
                <w:lang w:eastAsia="zh-CN"/>
              </w:rPr>
            </w:pPr>
          </w:p>
        </w:tc>
      </w:tr>
      <w:tr w:rsidR="00133524" w:rsidRPr="00784C48" w14:paraId="02892F58" w14:textId="77777777" w:rsidTr="00575FD2">
        <w:tc>
          <w:tcPr>
            <w:tcW w:w="7028" w:type="dxa"/>
          </w:tcPr>
          <w:p w14:paraId="02126C6A" w14:textId="6EA3FB41" w:rsidR="00133524" w:rsidRPr="00133524" w:rsidRDefault="00133524" w:rsidP="00133524">
            <w:pPr>
              <w:pStyle w:val="Default"/>
              <w:rPr>
                <w:sz w:val="20"/>
              </w:rPr>
            </w:pPr>
            <w:r>
              <w:rPr>
                <w:sz w:val="20"/>
                <w:szCs w:val="20"/>
              </w:rPr>
              <w:t xml:space="preserve">Demonstration of identification and segregation of “BC products in processing” such as signage on machines to ensure no commingling with non-certified products. </w:t>
            </w:r>
          </w:p>
        </w:tc>
        <w:tc>
          <w:tcPr>
            <w:tcW w:w="3429" w:type="dxa"/>
          </w:tcPr>
          <w:p w14:paraId="17D5DCED" w14:textId="77777777" w:rsidR="00133524" w:rsidRPr="002B712E" w:rsidRDefault="00133524" w:rsidP="00784C48">
            <w:pPr>
              <w:rPr>
                <w:rFonts w:cs="Arial"/>
                <w:sz w:val="20"/>
                <w:lang w:eastAsia="zh-CN"/>
              </w:rPr>
            </w:pPr>
          </w:p>
        </w:tc>
      </w:tr>
      <w:tr w:rsidR="004F7E48" w:rsidRPr="00784C48" w14:paraId="20564C7F" w14:textId="77777777" w:rsidTr="00575FD2">
        <w:tc>
          <w:tcPr>
            <w:tcW w:w="7028" w:type="dxa"/>
          </w:tcPr>
          <w:p w14:paraId="493D2866" w14:textId="3656DECE" w:rsidR="004F7E48" w:rsidRDefault="004F7E48" w:rsidP="00133524">
            <w:pPr>
              <w:pStyle w:val="Default"/>
              <w:rPr>
                <w:sz w:val="20"/>
                <w:szCs w:val="20"/>
              </w:rPr>
            </w:pPr>
            <w:r w:rsidRPr="004F7E48">
              <w:rPr>
                <w:sz w:val="20"/>
                <w:szCs w:val="20"/>
              </w:rPr>
              <w:t>Calibration records of scales, measuring devices, and testing equipment</w:t>
            </w:r>
          </w:p>
        </w:tc>
        <w:tc>
          <w:tcPr>
            <w:tcW w:w="3429" w:type="dxa"/>
          </w:tcPr>
          <w:p w14:paraId="4A43A679" w14:textId="77777777" w:rsidR="004F7E48" w:rsidRPr="002B712E" w:rsidRDefault="004F7E48" w:rsidP="00784C48">
            <w:pPr>
              <w:rPr>
                <w:rFonts w:cs="Arial"/>
                <w:sz w:val="20"/>
                <w:lang w:eastAsia="zh-CN"/>
              </w:rPr>
            </w:pPr>
          </w:p>
        </w:tc>
      </w:tr>
      <w:tr w:rsidR="008052DA" w:rsidRPr="00784C48" w14:paraId="4D538FF4" w14:textId="77777777" w:rsidTr="00575FD2">
        <w:tc>
          <w:tcPr>
            <w:tcW w:w="7028" w:type="dxa"/>
          </w:tcPr>
          <w:p w14:paraId="639F10C2" w14:textId="4EC59A38" w:rsidR="008052DA" w:rsidRPr="007B202D" w:rsidRDefault="007B202D" w:rsidP="00133524">
            <w:pPr>
              <w:pStyle w:val="Default"/>
              <w:rPr>
                <w:sz w:val="20"/>
              </w:rPr>
            </w:pPr>
            <w:r>
              <w:rPr>
                <w:sz w:val="20"/>
                <w:szCs w:val="20"/>
              </w:rPr>
              <w:t xml:space="preserve">Inventory / stock records </w:t>
            </w:r>
          </w:p>
        </w:tc>
        <w:tc>
          <w:tcPr>
            <w:tcW w:w="3429" w:type="dxa"/>
          </w:tcPr>
          <w:p w14:paraId="6852D8C9" w14:textId="77777777" w:rsidR="008052DA" w:rsidRPr="002B712E" w:rsidRDefault="008052DA" w:rsidP="00784C48">
            <w:pPr>
              <w:rPr>
                <w:rFonts w:cs="Arial"/>
                <w:sz w:val="20"/>
                <w:lang w:eastAsia="zh-CN"/>
              </w:rPr>
            </w:pPr>
          </w:p>
        </w:tc>
      </w:tr>
      <w:tr w:rsidR="00784C48" w:rsidRPr="00784C48" w14:paraId="50897021" w14:textId="737B28A6" w:rsidTr="00575FD2">
        <w:tc>
          <w:tcPr>
            <w:tcW w:w="7028" w:type="dxa"/>
          </w:tcPr>
          <w:p w14:paraId="75E79699" w14:textId="0F88F964" w:rsidR="00784C48" w:rsidRPr="002B712E" w:rsidRDefault="00784C48" w:rsidP="00DB78DD">
            <w:pPr>
              <w:rPr>
                <w:rFonts w:cs="Arial"/>
                <w:sz w:val="20"/>
                <w:lang w:eastAsia="zh-CN"/>
              </w:rPr>
            </w:pPr>
            <w:r w:rsidRPr="002B712E">
              <w:rPr>
                <w:rFonts w:cs="Arial"/>
                <w:sz w:val="20"/>
                <w:lang w:eastAsia="zh-CN"/>
              </w:rPr>
              <w:t xml:space="preserve">Handling </w:t>
            </w:r>
            <w:r w:rsidR="00DB78DD" w:rsidRPr="002B712E">
              <w:rPr>
                <w:rFonts w:cs="Arial"/>
                <w:sz w:val="20"/>
                <w:lang w:eastAsia="zh-CN"/>
              </w:rPr>
              <w:t>c</w:t>
            </w:r>
            <w:r w:rsidRPr="002B712E">
              <w:rPr>
                <w:rFonts w:cs="Arial"/>
                <w:sz w:val="20"/>
                <w:lang w:eastAsia="zh-CN"/>
              </w:rPr>
              <w:t xml:space="preserve">lient </w:t>
            </w:r>
            <w:r w:rsidR="00DB78DD" w:rsidRPr="002B712E">
              <w:rPr>
                <w:rFonts w:cs="Arial"/>
                <w:sz w:val="20"/>
                <w:lang w:eastAsia="zh-CN"/>
              </w:rPr>
              <w:t>c</w:t>
            </w:r>
            <w:r w:rsidRPr="002B712E">
              <w:rPr>
                <w:rFonts w:cs="Arial"/>
                <w:sz w:val="20"/>
                <w:lang w:eastAsia="zh-CN"/>
              </w:rPr>
              <w:t>omplaints</w:t>
            </w:r>
          </w:p>
        </w:tc>
        <w:tc>
          <w:tcPr>
            <w:tcW w:w="3429" w:type="dxa"/>
          </w:tcPr>
          <w:p w14:paraId="56D359AC" w14:textId="77777777" w:rsidR="00784C48" w:rsidRPr="002B712E" w:rsidRDefault="00784C48" w:rsidP="00784C48">
            <w:pPr>
              <w:rPr>
                <w:rFonts w:cs="Arial"/>
                <w:sz w:val="20"/>
                <w:lang w:eastAsia="zh-CN"/>
              </w:rPr>
            </w:pPr>
          </w:p>
        </w:tc>
      </w:tr>
      <w:tr w:rsidR="009F6218" w:rsidRPr="00784C48" w14:paraId="0A084590" w14:textId="77777777" w:rsidTr="00575FD2">
        <w:tc>
          <w:tcPr>
            <w:tcW w:w="7028" w:type="dxa"/>
          </w:tcPr>
          <w:p w14:paraId="714F3299" w14:textId="52245FE2" w:rsidR="009F6218" w:rsidRPr="002B712E" w:rsidRDefault="009F6218" w:rsidP="00DB78DD">
            <w:pPr>
              <w:rPr>
                <w:rFonts w:cs="Arial"/>
                <w:sz w:val="20"/>
                <w:lang w:eastAsia="zh-CN"/>
              </w:rPr>
            </w:pPr>
            <w:r>
              <w:rPr>
                <w:rFonts w:cs="Arial"/>
                <w:sz w:val="20"/>
                <w:lang w:eastAsia="zh-CN"/>
              </w:rPr>
              <w:t>Training records</w:t>
            </w:r>
          </w:p>
        </w:tc>
        <w:tc>
          <w:tcPr>
            <w:tcW w:w="3429" w:type="dxa"/>
          </w:tcPr>
          <w:p w14:paraId="06551B62" w14:textId="77777777" w:rsidR="009F6218" w:rsidRPr="002B712E" w:rsidRDefault="009F6218" w:rsidP="00784C48">
            <w:pPr>
              <w:rPr>
                <w:rFonts w:cs="Arial"/>
                <w:sz w:val="20"/>
                <w:lang w:eastAsia="zh-CN"/>
              </w:rPr>
            </w:pPr>
          </w:p>
        </w:tc>
      </w:tr>
      <w:tr w:rsidR="003D71FA" w:rsidRPr="00784C48" w14:paraId="57E85FA1" w14:textId="77777777" w:rsidTr="00575FD2">
        <w:tc>
          <w:tcPr>
            <w:tcW w:w="7028" w:type="dxa"/>
          </w:tcPr>
          <w:p w14:paraId="70A60E86" w14:textId="2B8BCDE1" w:rsidR="003D71FA" w:rsidRPr="002B712E" w:rsidRDefault="003D71FA" w:rsidP="00DB78DD">
            <w:pPr>
              <w:rPr>
                <w:rFonts w:cs="Arial"/>
                <w:sz w:val="20"/>
                <w:lang w:eastAsia="zh-CN"/>
              </w:rPr>
            </w:pPr>
            <w:r w:rsidRPr="002B712E">
              <w:rPr>
                <w:rFonts w:cs="Arial"/>
                <w:sz w:val="20"/>
                <w:lang w:eastAsia="zh-CN"/>
              </w:rPr>
              <w:t xml:space="preserve">Continuous </w:t>
            </w:r>
            <w:r w:rsidR="00DB78DD" w:rsidRPr="002B712E">
              <w:rPr>
                <w:rFonts w:cs="Arial"/>
                <w:sz w:val="20"/>
                <w:lang w:eastAsia="zh-CN"/>
              </w:rPr>
              <w:t>i</w:t>
            </w:r>
            <w:r w:rsidRPr="002B712E">
              <w:rPr>
                <w:rFonts w:cs="Arial"/>
                <w:sz w:val="20"/>
                <w:lang w:eastAsia="zh-CN"/>
              </w:rPr>
              <w:t>mprovement</w:t>
            </w:r>
          </w:p>
        </w:tc>
        <w:tc>
          <w:tcPr>
            <w:tcW w:w="3429" w:type="dxa"/>
          </w:tcPr>
          <w:p w14:paraId="2D88105C" w14:textId="77777777" w:rsidR="003D71FA" w:rsidRPr="002B712E" w:rsidRDefault="003D71FA" w:rsidP="00784C48">
            <w:pPr>
              <w:rPr>
                <w:rFonts w:cs="Arial"/>
                <w:sz w:val="20"/>
                <w:lang w:eastAsia="zh-CN"/>
              </w:rPr>
            </w:pPr>
          </w:p>
        </w:tc>
      </w:tr>
    </w:tbl>
    <w:p w14:paraId="08B8D840" w14:textId="77777777" w:rsidR="001336C1" w:rsidRPr="001F17BB" w:rsidRDefault="001336C1" w:rsidP="00550B49">
      <w:pPr>
        <w:rPr>
          <w:rFonts w:cs="Arial"/>
          <w:lang w:eastAsia="zh-CN"/>
        </w:rPr>
      </w:pPr>
    </w:p>
    <w:sectPr w:rsidR="001336C1" w:rsidRPr="001F17BB" w:rsidSect="002269CE">
      <w:headerReference w:type="default" r:id="rId41"/>
      <w:footerReference w:type="default" r:id="rId42"/>
      <w:pgSz w:w="11907" w:h="16839" w:code="9"/>
      <w:pgMar w:top="360" w:right="720" w:bottom="288" w:left="720" w:header="187" w:footer="0"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57E29" w14:textId="77777777" w:rsidR="00A22DA3" w:rsidRDefault="00A22DA3">
      <w:r>
        <w:separator/>
      </w:r>
    </w:p>
  </w:endnote>
  <w:endnote w:type="continuationSeparator" w:id="0">
    <w:p w14:paraId="444931F8" w14:textId="77777777" w:rsidR="00A22DA3" w:rsidRDefault="00A2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nil"/>
        <w:left w:val="nil"/>
        <w:bottom w:val="nil"/>
        <w:right w:val="nil"/>
        <w:insideH w:val="nil"/>
        <w:insideV w:val="nil"/>
      </w:tblBorders>
      <w:tblLook w:val="0000" w:firstRow="0" w:lastRow="0" w:firstColumn="0" w:lastColumn="0" w:noHBand="0" w:noVBand="0"/>
    </w:tblPr>
    <w:tblGrid>
      <w:gridCol w:w="9000"/>
      <w:gridCol w:w="1467"/>
    </w:tblGrid>
    <w:tr w:rsidR="00D33E95" w14:paraId="3664AD21" w14:textId="77777777" w:rsidTr="00D33E95">
      <w:trPr>
        <w:trHeight w:val="20"/>
      </w:trPr>
      <w:tc>
        <w:tcPr>
          <w:tcW w:w="4299" w:type="pct"/>
          <w:vMerge w:val="restart"/>
          <w:shd w:val="clear" w:color="auto" w:fill="0060AF"/>
        </w:tcPr>
        <w:p w14:paraId="6DDDD565" w14:textId="40F739A9" w:rsidR="00D33E95" w:rsidRDefault="00D33E95" w:rsidP="00D33E95">
          <w:pPr>
            <w:pStyle w:val="Footer"/>
            <w:tabs>
              <w:tab w:val="left" w:pos="2880"/>
              <w:tab w:val="left" w:pos="5580"/>
            </w:tabs>
            <w:jc w:val="center"/>
            <w:rPr>
              <w:rFonts w:ascii="Arial Narrow" w:hAnsi="Arial Narrow"/>
              <w:b/>
              <w:i/>
              <w:iCs/>
              <w:color w:val="FFFFFF" w:themeColor="background1"/>
              <w:sz w:val="22"/>
              <w:szCs w:val="22"/>
            </w:rPr>
          </w:pPr>
          <w:r>
            <w:rPr>
              <w:rFonts w:ascii="Arial Narrow" w:hAnsi="Arial Narrow"/>
              <w:b/>
              <w:i/>
              <w:iCs/>
              <w:noProof/>
              <w:color w:val="FFFFFF" w:themeColor="background1"/>
              <w:sz w:val="22"/>
              <w:szCs w:val="22"/>
            </w:rPr>
            <w:drawing>
              <wp:anchor distT="0" distB="0" distL="114300" distR="114300" simplePos="0" relativeHeight="251659264" behindDoc="1" locked="0" layoutInCell="1" allowOverlap="1" wp14:anchorId="11EE3FB9" wp14:editId="7C0F6928">
                <wp:simplePos x="0" y="0"/>
                <wp:positionH relativeFrom="column">
                  <wp:posOffset>5285731</wp:posOffset>
                </wp:positionH>
                <wp:positionV relativeFrom="paragraph">
                  <wp:posOffset>77953</wp:posOffset>
                </wp:positionV>
                <wp:extent cx="530595" cy="530595"/>
                <wp:effectExtent l="0" t="0" r="3175" b="3175"/>
                <wp:wrapSquare wrapText="bothSides"/>
                <wp:docPr id="1040921789" name="Picture 1040921789" descr="Qr cod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30595" cy="530595"/>
                        </a:xfrm>
                        <a:prstGeom prst="rect">
                          <a:avLst/>
                        </a:prstGeom>
                      </pic:spPr>
                    </pic:pic>
                  </a:graphicData>
                </a:graphic>
                <wp14:sizeRelH relativeFrom="margin">
                  <wp14:pctWidth>0</wp14:pctWidth>
                </wp14:sizeRelH>
                <wp14:sizeRelV relativeFrom="margin">
                  <wp14:pctHeight>0</wp14:pctHeight>
                </wp14:sizeRelV>
              </wp:anchor>
            </w:drawing>
          </w:r>
        </w:p>
        <w:p w14:paraId="72508564" w14:textId="0EC1EEEA" w:rsidR="00D33E95" w:rsidRDefault="00D33E95" w:rsidP="00D33E95">
          <w:pPr>
            <w:pStyle w:val="Footer"/>
            <w:tabs>
              <w:tab w:val="left" w:pos="2880"/>
              <w:tab w:val="left" w:pos="5580"/>
            </w:tabs>
            <w:jc w:val="center"/>
            <w:rPr>
              <w:rFonts w:ascii="Arial Narrow" w:hAnsi="Arial Narrow"/>
              <w:b/>
              <w:i/>
              <w:iCs/>
              <w:color w:val="FFFFFF" w:themeColor="background1"/>
              <w:sz w:val="14"/>
              <w:szCs w:val="14"/>
            </w:rPr>
          </w:pPr>
        </w:p>
        <w:p w14:paraId="161A375B" w14:textId="39951DD9" w:rsidR="00D33E95" w:rsidRDefault="00D33E95" w:rsidP="00D33E95">
          <w:pPr>
            <w:pStyle w:val="Footer"/>
            <w:tabs>
              <w:tab w:val="left" w:pos="2880"/>
              <w:tab w:val="left" w:pos="5580"/>
            </w:tabs>
            <w:rPr>
              <w:rStyle w:val="Hyperlink"/>
              <w:rFonts w:ascii="Arial Narrow" w:hAnsi="Arial Narrow"/>
              <w:b/>
              <w:i/>
              <w:iCs/>
              <w:color w:val="FFFFFF" w:themeColor="background1"/>
              <w:sz w:val="22"/>
              <w:szCs w:val="22"/>
            </w:rPr>
          </w:pPr>
          <w:r>
            <w:rPr>
              <w:rFonts w:ascii="Arial Narrow" w:hAnsi="Arial Narrow"/>
              <w:b/>
              <w:i/>
              <w:iCs/>
              <w:color w:val="FFFFFF" w:themeColor="background1"/>
              <w:sz w:val="22"/>
              <w:szCs w:val="22"/>
            </w:rPr>
            <w:t xml:space="preserve">                 C</w:t>
          </w:r>
          <w:r w:rsidRPr="00E81633">
            <w:rPr>
              <w:rFonts w:ascii="Arial Narrow" w:hAnsi="Arial Narrow"/>
              <w:b/>
              <w:i/>
              <w:iCs/>
              <w:color w:val="FFFFFF" w:themeColor="background1"/>
              <w:sz w:val="22"/>
              <w:szCs w:val="22"/>
            </w:rPr>
            <w:t>ontact</w:t>
          </w:r>
          <w:r w:rsidRPr="00E81633">
            <w:rPr>
              <w:rFonts w:ascii="Arial Narrow" w:hAnsi="Arial Narrow"/>
              <w:b/>
              <w:i/>
              <w:iCs/>
              <w:color w:val="FFFFFF" w:themeColor="background1"/>
              <w:sz w:val="28"/>
              <w:szCs w:val="28"/>
            </w:rPr>
            <w:t xml:space="preserve"> </w:t>
          </w:r>
          <w:r w:rsidRPr="00E81633">
            <w:rPr>
              <w:rFonts w:ascii="Arial Narrow" w:hAnsi="Arial Narrow"/>
              <w:b/>
              <w:i/>
              <w:iCs/>
              <w:color w:val="FFFFFF" w:themeColor="background1"/>
              <w:sz w:val="22"/>
              <w:szCs w:val="22"/>
            </w:rPr>
            <w:t xml:space="preserve">information for all IDFL locations can be found at </w:t>
          </w:r>
          <w:hyperlink r:id="rId3" w:history="1">
            <w:r w:rsidRPr="00875379">
              <w:rPr>
                <w:rStyle w:val="Hyperlink"/>
                <w:rFonts w:ascii="Arial Narrow" w:hAnsi="Arial Narrow"/>
                <w:b/>
                <w:i/>
                <w:iCs/>
                <w:color w:val="FFFFFF" w:themeColor="background1"/>
                <w:sz w:val="22"/>
                <w:szCs w:val="22"/>
                <w:u w:val="none"/>
              </w:rPr>
              <w:t>idfl.com/directory</w:t>
            </w:r>
          </w:hyperlink>
        </w:p>
        <w:p w14:paraId="06CA5270" w14:textId="77777777" w:rsidR="00D33E95" w:rsidRDefault="00D33E95" w:rsidP="00D33E95">
          <w:pPr>
            <w:pBdr>
              <w:top w:val="nil"/>
              <w:left w:val="nil"/>
              <w:bottom w:val="nil"/>
              <w:right w:val="nil"/>
              <w:between w:val="nil"/>
            </w:pBdr>
            <w:tabs>
              <w:tab w:val="center" w:pos="4320"/>
              <w:tab w:val="right" w:pos="8640"/>
              <w:tab w:val="left" w:pos="2880"/>
              <w:tab w:val="left" w:pos="5580"/>
            </w:tabs>
            <w:spacing w:before="120"/>
            <w:rPr>
              <w:rFonts w:ascii="Arial Narrow" w:eastAsia="Arial Narrow" w:hAnsi="Arial Narrow" w:cs="Arial Narrow"/>
              <w:b/>
              <w:color w:val="FFFFFF"/>
              <w:sz w:val="18"/>
              <w:szCs w:val="18"/>
            </w:rPr>
          </w:pPr>
        </w:p>
      </w:tc>
      <w:tc>
        <w:tcPr>
          <w:tcW w:w="701" w:type="pct"/>
          <w:shd w:val="clear" w:color="auto" w:fill="0060AF"/>
          <w:vAlign w:val="center"/>
        </w:tcPr>
        <w:p w14:paraId="1AC944E4" w14:textId="77777777" w:rsidR="00D33E95" w:rsidRDefault="00D33E95" w:rsidP="00D33E95">
          <w:pPr>
            <w:pBdr>
              <w:top w:val="nil"/>
              <w:left w:val="nil"/>
              <w:bottom w:val="nil"/>
              <w:right w:val="nil"/>
              <w:between w:val="nil"/>
            </w:pBdr>
            <w:tabs>
              <w:tab w:val="center" w:pos="4320"/>
              <w:tab w:val="right" w:pos="8640"/>
              <w:tab w:val="left" w:pos="2880"/>
              <w:tab w:val="left" w:pos="5580"/>
            </w:tabs>
            <w:jc w:val="right"/>
            <w:rPr>
              <w:b/>
              <w:color w:val="FFFFFF"/>
              <w:sz w:val="18"/>
              <w:szCs w:val="18"/>
            </w:rPr>
          </w:pPr>
          <w:r>
            <w:rPr>
              <w:b/>
              <w:color w:val="FFFFFF"/>
              <w:sz w:val="18"/>
              <w:szCs w:val="18"/>
            </w:rPr>
            <w:t>www.idfl.com</w:t>
          </w:r>
        </w:p>
      </w:tc>
    </w:tr>
    <w:tr w:rsidR="00D33E95" w14:paraId="04FA507B" w14:textId="77777777" w:rsidTr="00D33E95">
      <w:trPr>
        <w:trHeight w:val="919"/>
      </w:trPr>
      <w:tc>
        <w:tcPr>
          <w:tcW w:w="4299" w:type="pct"/>
          <w:vMerge/>
          <w:shd w:val="clear" w:color="auto" w:fill="0060AF"/>
        </w:tcPr>
        <w:p w14:paraId="4F529DB5" w14:textId="77777777" w:rsidR="00D33E95" w:rsidRDefault="00D33E95" w:rsidP="00D33E95">
          <w:pPr>
            <w:widowControl w:val="0"/>
            <w:pBdr>
              <w:top w:val="nil"/>
              <w:left w:val="nil"/>
              <w:bottom w:val="nil"/>
              <w:right w:val="nil"/>
              <w:between w:val="nil"/>
            </w:pBdr>
            <w:spacing w:line="276" w:lineRule="auto"/>
            <w:rPr>
              <w:b/>
              <w:color w:val="FFFFFF"/>
              <w:sz w:val="18"/>
              <w:szCs w:val="18"/>
            </w:rPr>
          </w:pPr>
        </w:p>
      </w:tc>
      <w:tc>
        <w:tcPr>
          <w:tcW w:w="701" w:type="pct"/>
          <w:shd w:val="clear" w:color="auto" w:fill="0060AF"/>
          <w:vAlign w:val="center"/>
        </w:tcPr>
        <w:p w14:paraId="2F7916FA" w14:textId="77777777" w:rsidR="00D33E95" w:rsidRDefault="00D33E95" w:rsidP="00D33E95">
          <w:pPr>
            <w:pBdr>
              <w:top w:val="nil"/>
              <w:left w:val="nil"/>
              <w:bottom w:val="nil"/>
              <w:right w:val="nil"/>
              <w:between w:val="nil"/>
            </w:pBdr>
            <w:tabs>
              <w:tab w:val="center" w:pos="4320"/>
              <w:tab w:val="right" w:pos="8640"/>
              <w:tab w:val="left" w:pos="2880"/>
              <w:tab w:val="left" w:pos="5580"/>
            </w:tabs>
            <w:spacing w:line="360" w:lineRule="auto"/>
            <w:jc w:val="right"/>
            <w:rPr>
              <w:b/>
              <w:color w:val="FFFFFF"/>
              <w:sz w:val="20"/>
            </w:rPr>
          </w:pPr>
          <w:r>
            <w:rPr>
              <w:b/>
              <w:color w:val="FFFFFF"/>
              <w:sz w:val="20"/>
            </w:rPr>
            <w:t xml:space="preserve">Page </w:t>
          </w:r>
          <w:r>
            <w:rPr>
              <w:b/>
              <w:color w:val="FFFFFF"/>
              <w:sz w:val="20"/>
            </w:rPr>
            <w:fldChar w:fldCharType="begin"/>
          </w:r>
          <w:r>
            <w:rPr>
              <w:b/>
              <w:color w:val="FFFFFF"/>
              <w:sz w:val="20"/>
            </w:rPr>
            <w:instrText>PAGE</w:instrText>
          </w:r>
          <w:r>
            <w:rPr>
              <w:b/>
              <w:color w:val="FFFFFF"/>
              <w:sz w:val="20"/>
            </w:rPr>
            <w:fldChar w:fldCharType="separate"/>
          </w:r>
          <w:r>
            <w:rPr>
              <w:b/>
              <w:noProof/>
              <w:color w:val="FFFFFF"/>
              <w:sz w:val="20"/>
            </w:rPr>
            <w:t>1</w:t>
          </w:r>
          <w:r>
            <w:rPr>
              <w:b/>
              <w:color w:val="FFFFFF"/>
              <w:sz w:val="20"/>
            </w:rPr>
            <w:fldChar w:fldCharType="end"/>
          </w:r>
          <w:r>
            <w:rPr>
              <w:b/>
              <w:color w:val="FFFFFF"/>
              <w:sz w:val="20"/>
            </w:rPr>
            <w:t xml:space="preserve"> of </w:t>
          </w:r>
          <w:r>
            <w:rPr>
              <w:b/>
              <w:color w:val="FFFFFF"/>
              <w:sz w:val="20"/>
            </w:rPr>
            <w:fldChar w:fldCharType="begin"/>
          </w:r>
          <w:r>
            <w:rPr>
              <w:b/>
              <w:color w:val="FFFFFF"/>
              <w:sz w:val="20"/>
            </w:rPr>
            <w:instrText>NUMPAGES</w:instrText>
          </w:r>
          <w:r>
            <w:rPr>
              <w:b/>
              <w:color w:val="FFFFFF"/>
              <w:sz w:val="20"/>
            </w:rPr>
            <w:fldChar w:fldCharType="separate"/>
          </w:r>
          <w:r>
            <w:rPr>
              <w:b/>
              <w:noProof/>
              <w:color w:val="FFFFFF"/>
              <w:sz w:val="20"/>
            </w:rPr>
            <w:t>2</w:t>
          </w:r>
          <w:r>
            <w:rPr>
              <w:b/>
              <w:color w:val="FFFFFF"/>
              <w:sz w:val="20"/>
            </w:rPr>
            <w:fldChar w:fldCharType="end"/>
          </w:r>
        </w:p>
        <w:p w14:paraId="53732FB7" w14:textId="77777777" w:rsidR="00D33E95" w:rsidRDefault="00D33E95" w:rsidP="00D33E95">
          <w:pPr>
            <w:pBdr>
              <w:top w:val="nil"/>
              <w:left w:val="nil"/>
              <w:bottom w:val="nil"/>
              <w:right w:val="nil"/>
              <w:between w:val="nil"/>
            </w:pBdr>
            <w:tabs>
              <w:tab w:val="center" w:pos="4320"/>
              <w:tab w:val="right" w:pos="8640"/>
              <w:tab w:val="left" w:pos="2880"/>
              <w:tab w:val="left" w:pos="5580"/>
            </w:tabs>
            <w:spacing w:line="360" w:lineRule="auto"/>
            <w:jc w:val="right"/>
            <w:rPr>
              <w:b/>
              <w:color w:val="FFFFFF"/>
              <w:sz w:val="16"/>
              <w:szCs w:val="16"/>
            </w:rPr>
          </w:pPr>
          <w:r>
            <w:rPr>
              <w:b/>
              <w:color w:val="FFFFFF"/>
              <w:sz w:val="16"/>
              <w:szCs w:val="16"/>
            </w:rPr>
            <w:t>© IDFL</w:t>
          </w:r>
        </w:p>
      </w:tc>
    </w:tr>
  </w:tbl>
  <w:p w14:paraId="4C1D76BA" w14:textId="519E6D78" w:rsidR="00F01026" w:rsidRPr="00D22ADD" w:rsidRDefault="00F01026" w:rsidP="00D33E95">
    <w:pPr>
      <w:tabs>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s>
      <w:rPr>
        <w:rFonts w:ascii="Arial Narrow" w:hAnsi="Arial Narrow" w:cs="Arial"/>
        <w:color w:val="000000"/>
        <w:sz w:val="2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1E6D" w14:textId="77777777" w:rsidR="00A22DA3" w:rsidRDefault="00A22DA3">
      <w:r>
        <w:separator/>
      </w:r>
    </w:p>
  </w:footnote>
  <w:footnote w:type="continuationSeparator" w:id="0">
    <w:p w14:paraId="2A71FE18" w14:textId="77777777" w:rsidR="00A22DA3" w:rsidRDefault="00A2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49" w:type="dxa"/>
      <w:jc w:val="center"/>
      <w:tblLayout w:type="fixed"/>
      <w:tblLook w:val="0000" w:firstRow="0" w:lastRow="0" w:firstColumn="0" w:lastColumn="0" w:noHBand="0" w:noVBand="0"/>
    </w:tblPr>
    <w:tblGrid>
      <w:gridCol w:w="1386"/>
      <w:gridCol w:w="6984"/>
      <w:gridCol w:w="2279"/>
    </w:tblGrid>
    <w:tr w:rsidR="00190432" w14:paraId="738AE374" w14:textId="77777777" w:rsidTr="00E3771A">
      <w:trPr>
        <w:trHeight w:val="1172"/>
        <w:jc w:val="center"/>
      </w:trPr>
      <w:tc>
        <w:tcPr>
          <w:tcW w:w="1386" w:type="dxa"/>
          <w:vAlign w:val="center"/>
        </w:tcPr>
        <w:p w14:paraId="7E364D62" w14:textId="77777777" w:rsidR="00190432" w:rsidRDefault="00190432" w:rsidP="00190432">
          <w:pPr>
            <w:pBdr>
              <w:top w:val="nil"/>
              <w:left w:val="nil"/>
              <w:bottom w:val="nil"/>
              <w:right w:val="nil"/>
              <w:between w:val="nil"/>
            </w:pBdr>
            <w:tabs>
              <w:tab w:val="center" w:pos="4320"/>
              <w:tab w:val="right" w:pos="8640"/>
            </w:tabs>
            <w:ind w:right="720"/>
            <w:rPr>
              <w:b/>
              <w:color w:val="000000"/>
              <w:sz w:val="20"/>
            </w:rPr>
          </w:pPr>
          <w:r>
            <w:rPr>
              <w:rFonts w:ascii="Cambria" w:eastAsia="Cambria" w:hAnsi="Cambria" w:cs="Cambria"/>
              <w:b/>
              <w:noProof/>
              <w:color w:val="000000"/>
              <w:sz w:val="36"/>
              <w:szCs w:val="36"/>
            </w:rPr>
            <w:drawing>
              <wp:anchor distT="0" distB="0" distL="114300" distR="114300" simplePos="0" relativeHeight="251661312" behindDoc="0" locked="0" layoutInCell="1" allowOverlap="1" wp14:anchorId="3244C497" wp14:editId="13369A9E">
                <wp:simplePos x="0" y="0"/>
                <wp:positionH relativeFrom="column">
                  <wp:posOffset>8890</wp:posOffset>
                </wp:positionH>
                <wp:positionV relativeFrom="paragraph">
                  <wp:posOffset>9525</wp:posOffset>
                </wp:positionV>
                <wp:extent cx="731520" cy="567690"/>
                <wp:effectExtent l="0" t="0" r="0" b="3810"/>
                <wp:wrapNone/>
                <wp:docPr id="1512197531"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512197531" name="image1.png" descr="A blue and white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31520" cy="567690"/>
                        </a:xfrm>
                        <a:prstGeom prst="rect">
                          <a:avLst/>
                        </a:prstGeom>
                        <a:ln/>
                      </pic:spPr>
                    </pic:pic>
                  </a:graphicData>
                </a:graphic>
                <wp14:sizeRelH relativeFrom="margin">
                  <wp14:pctWidth>0</wp14:pctWidth>
                </wp14:sizeRelH>
                <wp14:sizeRelV relativeFrom="margin">
                  <wp14:pctHeight>0</wp14:pctHeight>
                </wp14:sizeRelV>
              </wp:anchor>
            </w:drawing>
          </w:r>
        </w:p>
      </w:tc>
      <w:tc>
        <w:tcPr>
          <w:tcW w:w="6984" w:type="dxa"/>
          <w:vAlign w:val="center"/>
        </w:tcPr>
        <w:p w14:paraId="0443B59F" w14:textId="7266F158" w:rsidR="00190432" w:rsidRDefault="00F64EBF" w:rsidP="00190432">
          <w:pPr>
            <w:pBdr>
              <w:top w:val="nil"/>
              <w:left w:val="nil"/>
              <w:bottom w:val="nil"/>
              <w:right w:val="nil"/>
              <w:between w:val="nil"/>
            </w:pBdr>
            <w:tabs>
              <w:tab w:val="center" w:pos="4320"/>
              <w:tab w:val="right" w:pos="8640"/>
            </w:tabs>
            <w:ind w:right="720"/>
            <w:rPr>
              <w:color w:val="000000"/>
              <w:sz w:val="16"/>
              <w:szCs w:val="16"/>
            </w:rPr>
          </w:pPr>
          <w:r>
            <w:rPr>
              <w:rFonts w:ascii="Arial Black" w:eastAsia="Arial Black" w:hAnsi="Arial Black" w:cs="Arial Black"/>
              <w:b/>
              <w:color w:val="000000"/>
              <w:sz w:val="28"/>
              <w:szCs w:val="28"/>
            </w:rPr>
            <w:t>ASSESSMENT</w:t>
          </w:r>
          <w:r w:rsidR="00190432">
            <w:rPr>
              <w:rFonts w:ascii="Arial Black" w:eastAsia="Arial Black" w:hAnsi="Arial Black" w:cs="Arial Black"/>
              <w:b/>
              <w:color w:val="000000"/>
              <w:sz w:val="28"/>
              <w:szCs w:val="28"/>
            </w:rPr>
            <w:t xml:space="preserve"> GUIDE &amp; CHECKLIST </w:t>
          </w:r>
        </w:p>
        <w:p w14:paraId="349B428B" w14:textId="77777777" w:rsidR="00190432" w:rsidRDefault="00190432" w:rsidP="00190432">
          <w:pPr>
            <w:pBdr>
              <w:top w:val="nil"/>
              <w:left w:val="nil"/>
              <w:bottom w:val="nil"/>
              <w:right w:val="nil"/>
              <w:between w:val="nil"/>
            </w:pBdr>
            <w:tabs>
              <w:tab w:val="center" w:pos="4320"/>
              <w:tab w:val="right" w:pos="8640"/>
            </w:tabs>
            <w:rPr>
              <w:b/>
              <w:color w:val="000000"/>
              <w:sz w:val="20"/>
            </w:rPr>
          </w:pPr>
          <w:r w:rsidRPr="00895928">
            <w:rPr>
              <w:b/>
              <w:color w:val="000000"/>
              <w:sz w:val="20"/>
            </w:rPr>
            <w:t>Better Cotton Chain of Custody (CoC) Standard</w:t>
          </w:r>
        </w:p>
      </w:tc>
      <w:tc>
        <w:tcPr>
          <w:tcW w:w="2279" w:type="dxa"/>
          <w:vAlign w:val="center"/>
        </w:tcPr>
        <w:p w14:paraId="4354A7A9" w14:textId="7B4A24F1" w:rsidR="00190432" w:rsidRDefault="00190432" w:rsidP="00190432">
          <w:pPr>
            <w:jc w:val="right"/>
            <w:rPr>
              <w:color w:val="000000"/>
              <w:sz w:val="16"/>
              <w:szCs w:val="16"/>
            </w:rPr>
          </w:pPr>
          <w:r>
            <w:rPr>
              <w:color w:val="000000"/>
              <w:sz w:val="16"/>
              <w:szCs w:val="16"/>
            </w:rPr>
            <w:t>IDFL-FF-BCC</w:t>
          </w:r>
          <w:r w:rsidR="000E2596">
            <w:rPr>
              <w:color w:val="000000"/>
              <w:sz w:val="16"/>
              <w:szCs w:val="16"/>
            </w:rPr>
            <w:t>OC</w:t>
          </w:r>
          <w:r>
            <w:rPr>
              <w:color w:val="000000"/>
              <w:sz w:val="16"/>
              <w:szCs w:val="16"/>
            </w:rPr>
            <w:t xml:space="preserve"> 0</w:t>
          </w:r>
          <w:r w:rsidR="00E3771A">
            <w:rPr>
              <w:color w:val="000000"/>
              <w:sz w:val="16"/>
              <w:szCs w:val="16"/>
            </w:rPr>
            <w:t>1</w:t>
          </w:r>
          <w:r>
            <w:rPr>
              <w:color w:val="000000"/>
              <w:sz w:val="16"/>
              <w:szCs w:val="16"/>
            </w:rPr>
            <w:t xml:space="preserve"> EN</w:t>
          </w:r>
        </w:p>
        <w:p w14:paraId="21B0DE15" w14:textId="77777777" w:rsidR="00190432" w:rsidRDefault="00190432" w:rsidP="00190432">
          <w:pPr>
            <w:jc w:val="right"/>
            <w:rPr>
              <w:color w:val="000000"/>
              <w:sz w:val="16"/>
              <w:szCs w:val="16"/>
            </w:rPr>
          </w:pPr>
          <w:r>
            <w:rPr>
              <w:color w:val="000000"/>
              <w:sz w:val="16"/>
              <w:szCs w:val="16"/>
            </w:rPr>
            <w:t>V1.0</w:t>
          </w:r>
        </w:p>
        <w:p w14:paraId="19447D62" w14:textId="77777777" w:rsidR="00190432" w:rsidRPr="000C4834" w:rsidRDefault="00190432" w:rsidP="00190432">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DCR 095</w:t>
          </w:r>
        </w:p>
      </w:tc>
    </w:tr>
  </w:tbl>
  <w:p w14:paraId="6F868302" w14:textId="37A6BD8F" w:rsidR="00F01026" w:rsidRPr="008E5856" w:rsidRDefault="00F01026" w:rsidP="008E5856">
    <w:pPr>
      <w:pStyle w:val="Header"/>
      <w:tabs>
        <w:tab w:val="clear" w:pos="4320"/>
        <w:tab w:val="clear" w:pos="8640"/>
        <w:tab w:val="left" w:pos="2004"/>
      </w:tabs>
      <w:rPr>
        <w:b/>
        <w:noProof/>
        <w:sz w:val="2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662A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11B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64F96"/>
    <w:multiLevelType w:val="hybridMultilevel"/>
    <w:tmpl w:val="E680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F24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F3B23"/>
    <w:multiLevelType w:val="hybridMultilevel"/>
    <w:tmpl w:val="871A7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4C42"/>
    <w:multiLevelType w:val="hybridMultilevel"/>
    <w:tmpl w:val="19C4BB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B0D5F"/>
    <w:multiLevelType w:val="hybridMultilevel"/>
    <w:tmpl w:val="6688F6D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 w15:restartNumberingAfterBreak="0">
    <w:nsid w:val="0C50198A"/>
    <w:multiLevelType w:val="hybridMultilevel"/>
    <w:tmpl w:val="F08A8B60"/>
    <w:lvl w:ilvl="0" w:tplc="9B489B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B7C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9E0F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0A7B98"/>
    <w:multiLevelType w:val="multilevel"/>
    <w:tmpl w:val="38FA5598"/>
    <w:lvl w:ilvl="0">
      <w:start w:val="1"/>
      <w:numFmt w:val="decimal"/>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1ADB7C20"/>
    <w:multiLevelType w:val="hybridMultilevel"/>
    <w:tmpl w:val="7792A4D4"/>
    <w:lvl w:ilvl="0" w:tplc="9B489B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B34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2C0162"/>
    <w:multiLevelType w:val="hybridMultilevel"/>
    <w:tmpl w:val="83D8656C"/>
    <w:lvl w:ilvl="0" w:tplc="9B489B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91DDD"/>
    <w:multiLevelType w:val="hybridMultilevel"/>
    <w:tmpl w:val="484E4028"/>
    <w:lvl w:ilvl="0" w:tplc="A9A6B99E">
      <w:start w:val="1"/>
      <w:numFmt w:val="bullet"/>
      <w:lvlText w:val=""/>
      <w:lvlJc w:val="left"/>
      <w:pPr>
        <w:ind w:left="773"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258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03526E"/>
    <w:multiLevelType w:val="hybridMultilevel"/>
    <w:tmpl w:val="0054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C35C2"/>
    <w:multiLevelType w:val="hybridMultilevel"/>
    <w:tmpl w:val="3106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547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DC691A"/>
    <w:multiLevelType w:val="hybridMultilevel"/>
    <w:tmpl w:val="D09C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8721E"/>
    <w:multiLevelType w:val="hybridMultilevel"/>
    <w:tmpl w:val="8C82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63849"/>
    <w:multiLevelType w:val="hybridMultilevel"/>
    <w:tmpl w:val="11CA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15D7B"/>
    <w:multiLevelType w:val="hybridMultilevel"/>
    <w:tmpl w:val="EB780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A0512"/>
    <w:multiLevelType w:val="hybridMultilevel"/>
    <w:tmpl w:val="7C52E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24" w15:restartNumberingAfterBreak="0">
    <w:nsid w:val="48830A94"/>
    <w:multiLevelType w:val="hybridMultilevel"/>
    <w:tmpl w:val="1D0C963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210D4"/>
    <w:multiLevelType w:val="hybridMultilevel"/>
    <w:tmpl w:val="6F3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4071F"/>
    <w:multiLevelType w:val="hybridMultilevel"/>
    <w:tmpl w:val="F5F6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C5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130B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6F2961"/>
    <w:multiLevelType w:val="hybridMultilevel"/>
    <w:tmpl w:val="5664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870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5A4046"/>
    <w:multiLevelType w:val="hybridMultilevel"/>
    <w:tmpl w:val="6D388ED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970C4"/>
    <w:multiLevelType w:val="hybridMultilevel"/>
    <w:tmpl w:val="31061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78B"/>
    <w:multiLevelType w:val="hybridMultilevel"/>
    <w:tmpl w:val="671E7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E26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D8770C"/>
    <w:multiLevelType w:val="hybridMultilevel"/>
    <w:tmpl w:val="B4DE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84A23"/>
    <w:multiLevelType w:val="multilevel"/>
    <w:tmpl w:val="CFEAE9A4"/>
    <w:lvl w:ilvl="0">
      <w:start w:val="6"/>
      <w:numFmt w:val="decimal"/>
      <w:lvlText w:val="%1"/>
      <w:lvlJc w:val="left"/>
      <w:pPr>
        <w:ind w:left="360" w:hanging="360"/>
      </w:pPr>
      <w:rPr>
        <w:rFonts w:cs="Times New Roman" w:hint="default"/>
        <w:color w:val="0000FF"/>
        <w:sz w:val="22"/>
        <w:u w:val="single"/>
      </w:rPr>
    </w:lvl>
    <w:lvl w:ilvl="1">
      <w:start w:val="3"/>
      <w:numFmt w:val="decimal"/>
      <w:lvlText w:val="%1.%2"/>
      <w:lvlJc w:val="left"/>
      <w:pPr>
        <w:ind w:left="940" w:hanging="720"/>
      </w:pPr>
      <w:rPr>
        <w:rFonts w:cs="Times New Roman" w:hint="default"/>
        <w:color w:val="0000FF"/>
        <w:sz w:val="22"/>
        <w:u w:val="single"/>
      </w:rPr>
    </w:lvl>
    <w:lvl w:ilvl="2">
      <w:start w:val="1"/>
      <w:numFmt w:val="decimal"/>
      <w:lvlText w:val="%1.%2.%3"/>
      <w:lvlJc w:val="left"/>
      <w:pPr>
        <w:ind w:left="1160" w:hanging="720"/>
      </w:pPr>
      <w:rPr>
        <w:rFonts w:cs="Times New Roman" w:hint="default"/>
        <w:color w:val="0000FF"/>
        <w:sz w:val="22"/>
        <w:u w:val="single"/>
      </w:rPr>
    </w:lvl>
    <w:lvl w:ilvl="3">
      <w:start w:val="1"/>
      <w:numFmt w:val="decimal"/>
      <w:lvlText w:val="%1.%2.%3.%4"/>
      <w:lvlJc w:val="left"/>
      <w:pPr>
        <w:ind w:left="1740" w:hanging="1080"/>
      </w:pPr>
      <w:rPr>
        <w:rFonts w:cs="Times New Roman" w:hint="default"/>
        <w:color w:val="0000FF"/>
        <w:sz w:val="22"/>
        <w:u w:val="single"/>
      </w:rPr>
    </w:lvl>
    <w:lvl w:ilvl="4">
      <w:start w:val="1"/>
      <w:numFmt w:val="decimal"/>
      <w:lvlText w:val="%1.%2.%3.%4.%5"/>
      <w:lvlJc w:val="left"/>
      <w:pPr>
        <w:ind w:left="2320" w:hanging="1440"/>
      </w:pPr>
      <w:rPr>
        <w:rFonts w:cs="Times New Roman" w:hint="default"/>
        <w:color w:val="0000FF"/>
        <w:sz w:val="22"/>
        <w:u w:val="single"/>
      </w:rPr>
    </w:lvl>
    <w:lvl w:ilvl="5">
      <w:start w:val="1"/>
      <w:numFmt w:val="decimal"/>
      <w:lvlText w:val="%1.%2.%3.%4.%5.%6"/>
      <w:lvlJc w:val="left"/>
      <w:pPr>
        <w:ind w:left="2900" w:hanging="1800"/>
      </w:pPr>
      <w:rPr>
        <w:rFonts w:cs="Times New Roman" w:hint="default"/>
        <w:color w:val="0000FF"/>
        <w:sz w:val="22"/>
        <w:u w:val="single"/>
      </w:rPr>
    </w:lvl>
    <w:lvl w:ilvl="6">
      <w:start w:val="1"/>
      <w:numFmt w:val="decimal"/>
      <w:lvlText w:val="%1.%2.%3.%4.%5.%6.%7"/>
      <w:lvlJc w:val="left"/>
      <w:pPr>
        <w:ind w:left="3120" w:hanging="1800"/>
      </w:pPr>
      <w:rPr>
        <w:rFonts w:cs="Times New Roman" w:hint="default"/>
        <w:color w:val="0000FF"/>
        <w:sz w:val="22"/>
        <w:u w:val="single"/>
      </w:rPr>
    </w:lvl>
    <w:lvl w:ilvl="7">
      <w:start w:val="1"/>
      <w:numFmt w:val="decimal"/>
      <w:lvlText w:val="%1.%2.%3.%4.%5.%6.%7.%8"/>
      <w:lvlJc w:val="left"/>
      <w:pPr>
        <w:ind w:left="3700" w:hanging="2160"/>
      </w:pPr>
      <w:rPr>
        <w:rFonts w:cs="Times New Roman" w:hint="default"/>
        <w:color w:val="0000FF"/>
        <w:sz w:val="22"/>
        <w:u w:val="single"/>
      </w:rPr>
    </w:lvl>
    <w:lvl w:ilvl="8">
      <w:start w:val="1"/>
      <w:numFmt w:val="decimal"/>
      <w:lvlText w:val="%1.%2.%3.%4.%5.%6.%7.%8.%9"/>
      <w:lvlJc w:val="left"/>
      <w:pPr>
        <w:ind w:left="4280" w:hanging="2520"/>
      </w:pPr>
      <w:rPr>
        <w:rFonts w:cs="Times New Roman" w:hint="default"/>
        <w:color w:val="0000FF"/>
        <w:sz w:val="22"/>
        <w:u w:val="single"/>
      </w:rPr>
    </w:lvl>
  </w:abstractNum>
  <w:abstractNum w:abstractNumId="37" w15:restartNumberingAfterBreak="0">
    <w:nsid w:val="76F42F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053CCE"/>
    <w:multiLevelType w:val="hybridMultilevel"/>
    <w:tmpl w:val="DE5E6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C68CA"/>
    <w:multiLevelType w:val="hybridMultilevel"/>
    <w:tmpl w:val="1930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848687">
    <w:abstractNumId w:val="4"/>
  </w:num>
  <w:num w:numId="2" w16cid:durableId="707950506">
    <w:abstractNumId w:val="17"/>
  </w:num>
  <w:num w:numId="3" w16cid:durableId="1621642756">
    <w:abstractNumId w:val="32"/>
  </w:num>
  <w:num w:numId="4" w16cid:durableId="390737112">
    <w:abstractNumId w:val="16"/>
  </w:num>
  <w:num w:numId="5" w16cid:durableId="225802160">
    <w:abstractNumId w:val="33"/>
  </w:num>
  <w:num w:numId="6" w16cid:durableId="1283458757">
    <w:abstractNumId w:val="11"/>
  </w:num>
  <w:num w:numId="7" w16cid:durableId="1195925141">
    <w:abstractNumId w:val="13"/>
  </w:num>
  <w:num w:numId="8" w16cid:durableId="2128304900">
    <w:abstractNumId w:val="7"/>
  </w:num>
  <w:num w:numId="9" w16cid:durableId="116025939">
    <w:abstractNumId w:val="24"/>
  </w:num>
  <w:num w:numId="10" w16cid:durableId="1414426407">
    <w:abstractNumId w:val="6"/>
  </w:num>
  <w:num w:numId="11" w16cid:durableId="168258530">
    <w:abstractNumId w:val="14"/>
  </w:num>
  <w:num w:numId="12" w16cid:durableId="449397825">
    <w:abstractNumId w:val="38"/>
  </w:num>
  <w:num w:numId="13" w16cid:durableId="1572540163">
    <w:abstractNumId w:val="31"/>
  </w:num>
  <w:num w:numId="14" w16cid:durableId="1574700221">
    <w:abstractNumId w:val="5"/>
  </w:num>
  <w:num w:numId="15" w16cid:durableId="1558200011">
    <w:abstractNumId w:val="39"/>
  </w:num>
  <w:num w:numId="16" w16cid:durableId="1835219545">
    <w:abstractNumId w:val="26"/>
  </w:num>
  <w:num w:numId="17" w16cid:durableId="1212885031">
    <w:abstractNumId w:val="23"/>
  </w:num>
  <w:num w:numId="18" w16cid:durableId="1089306540">
    <w:abstractNumId w:val="14"/>
  </w:num>
  <w:num w:numId="19" w16cid:durableId="1177041132">
    <w:abstractNumId w:val="14"/>
  </w:num>
  <w:num w:numId="20" w16cid:durableId="911045015">
    <w:abstractNumId w:val="14"/>
  </w:num>
  <w:num w:numId="21" w16cid:durableId="932930143">
    <w:abstractNumId w:val="20"/>
  </w:num>
  <w:num w:numId="22" w16cid:durableId="2064060340">
    <w:abstractNumId w:val="0"/>
  </w:num>
  <w:num w:numId="23" w16cid:durableId="1079139321">
    <w:abstractNumId w:val="19"/>
  </w:num>
  <w:num w:numId="24" w16cid:durableId="1609892022">
    <w:abstractNumId w:val="2"/>
  </w:num>
  <w:num w:numId="25" w16cid:durableId="1372610392">
    <w:abstractNumId w:val="35"/>
  </w:num>
  <w:num w:numId="26" w16cid:durableId="1400592717">
    <w:abstractNumId w:val="22"/>
  </w:num>
  <w:num w:numId="27" w16cid:durableId="1037318147">
    <w:abstractNumId w:val="1"/>
  </w:num>
  <w:num w:numId="28" w16cid:durableId="1924875577">
    <w:abstractNumId w:val="30"/>
  </w:num>
  <w:num w:numId="29" w16cid:durableId="1721052832">
    <w:abstractNumId w:val="12"/>
  </w:num>
  <w:num w:numId="30" w16cid:durableId="1844321112">
    <w:abstractNumId w:val="18"/>
  </w:num>
  <w:num w:numId="31" w16cid:durableId="904801109">
    <w:abstractNumId w:val="8"/>
  </w:num>
  <w:num w:numId="32" w16cid:durableId="234363145">
    <w:abstractNumId w:val="10"/>
  </w:num>
  <w:num w:numId="33" w16cid:durableId="398283691">
    <w:abstractNumId w:val="9"/>
  </w:num>
  <w:num w:numId="34" w16cid:durableId="1841500797">
    <w:abstractNumId w:val="36"/>
  </w:num>
  <w:num w:numId="35" w16cid:durableId="1824853357">
    <w:abstractNumId w:val="27"/>
  </w:num>
  <w:num w:numId="36" w16cid:durableId="2132898824">
    <w:abstractNumId w:val="15"/>
  </w:num>
  <w:num w:numId="37" w16cid:durableId="1327585483">
    <w:abstractNumId w:val="21"/>
  </w:num>
  <w:num w:numId="38" w16cid:durableId="1162741665">
    <w:abstractNumId w:val="29"/>
  </w:num>
  <w:num w:numId="39" w16cid:durableId="2086949288">
    <w:abstractNumId w:val="28"/>
  </w:num>
  <w:num w:numId="40" w16cid:durableId="1044718082">
    <w:abstractNumId w:val="34"/>
  </w:num>
  <w:num w:numId="41" w16cid:durableId="1738169496">
    <w:abstractNumId w:val="3"/>
  </w:num>
  <w:num w:numId="42" w16cid:durableId="476458780">
    <w:abstractNumId w:val="37"/>
  </w:num>
  <w:num w:numId="43" w16cid:durableId="6818632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F9XNNU9+hzwWKntijCIZN34hfWvz8MHmYZXXBoi0d3MgaNhYnUn0gUanATVhUKAC5WnWrNG23ZDF2BiD7XXYA==" w:salt="KBPkuJMlP7XXN7IKlAYbD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BB"/>
    <w:rsid w:val="00001619"/>
    <w:rsid w:val="000019BE"/>
    <w:rsid w:val="000024ED"/>
    <w:rsid w:val="00006DEA"/>
    <w:rsid w:val="0001210C"/>
    <w:rsid w:val="00016E40"/>
    <w:rsid w:val="00017302"/>
    <w:rsid w:val="00021E8A"/>
    <w:rsid w:val="00022816"/>
    <w:rsid w:val="00023A18"/>
    <w:rsid w:val="0003278C"/>
    <w:rsid w:val="00035A2A"/>
    <w:rsid w:val="00036974"/>
    <w:rsid w:val="000434F9"/>
    <w:rsid w:val="00043C9B"/>
    <w:rsid w:val="0004665A"/>
    <w:rsid w:val="00047D3D"/>
    <w:rsid w:val="00047F2B"/>
    <w:rsid w:val="00051751"/>
    <w:rsid w:val="00054D19"/>
    <w:rsid w:val="000579DC"/>
    <w:rsid w:val="0006204A"/>
    <w:rsid w:val="0006777C"/>
    <w:rsid w:val="00073938"/>
    <w:rsid w:val="00083AF8"/>
    <w:rsid w:val="00085480"/>
    <w:rsid w:val="00092489"/>
    <w:rsid w:val="00092A11"/>
    <w:rsid w:val="0009455C"/>
    <w:rsid w:val="0009702F"/>
    <w:rsid w:val="00097A44"/>
    <w:rsid w:val="000A0805"/>
    <w:rsid w:val="000A51C8"/>
    <w:rsid w:val="000B0F09"/>
    <w:rsid w:val="000B4105"/>
    <w:rsid w:val="000B653A"/>
    <w:rsid w:val="000C010A"/>
    <w:rsid w:val="000C14EE"/>
    <w:rsid w:val="000C377A"/>
    <w:rsid w:val="000C3BF0"/>
    <w:rsid w:val="000D4057"/>
    <w:rsid w:val="000D505E"/>
    <w:rsid w:val="000D54D4"/>
    <w:rsid w:val="000E2596"/>
    <w:rsid w:val="000E28A9"/>
    <w:rsid w:val="000F062F"/>
    <w:rsid w:val="000F2933"/>
    <w:rsid w:val="000F384C"/>
    <w:rsid w:val="000F7449"/>
    <w:rsid w:val="00104A57"/>
    <w:rsid w:val="00110971"/>
    <w:rsid w:val="00111CD4"/>
    <w:rsid w:val="00120708"/>
    <w:rsid w:val="00121564"/>
    <w:rsid w:val="00122B22"/>
    <w:rsid w:val="00133524"/>
    <w:rsid w:val="001336C1"/>
    <w:rsid w:val="0013536A"/>
    <w:rsid w:val="00135FA1"/>
    <w:rsid w:val="00142798"/>
    <w:rsid w:val="00143E2C"/>
    <w:rsid w:val="00153B96"/>
    <w:rsid w:val="001563FF"/>
    <w:rsid w:val="00157C5A"/>
    <w:rsid w:val="00165C46"/>
    <w:rsid w:val="00172A8E"/>
    <w:rsid w:val="00174F65"/>
    <w:rsid w:val="0018602B"/>
    <w:rsid w:val="00190432"/>
    <w:rsid w:val="001904FA"/>
    <w:rsid w:val="00190EA3"/>
    <w:rsid w:val="00192FD9"/>
    <w:rsid w:val="001A05AA"/>
    <w:rsid w:val="001A2A7E"/>
    <w:rsid w:val="001A7146"/>
    <w:rsid w:val="001B123E"/>
    <w:rsid w:val="001B2625"/>
    <w:rsid w:val="001B719C"/>
    <w:rsid w:val="001D21C8"/>
    <w:rsid w:val="001D2948"/>
    <w:rsid w:val="001E1343"/>
    <w:rsid w:val="001F17BB"/>
    <w:rsid w:val="001F23BC"/>
    <w:rsid w:val="001F3185"/>
    <w:rsid w:val="001F4FB4"/>
    <w:rsid w:val="001F63A3"/>
    <w:rsid w:val="00202BE5"/>
    <w:rsid w:val="002033AC"/>
    <w:rsid w:val="00206D45"/>
    <w:rsid w:val="00216441"/>
    <w:rsid w:val="00221820"/>
    <w:rsid w:val="00221CF5"/>
    <w:rsid w:val="0022245E"/>
    <w:rsid w:val="002269CE"/>
    <w:rsid w:val="002361F1"/>
    <w:rsid w:val="00236359"/>
    <w:rsid w:val="00237E64"/>
    <w:rsid w:val="00244FE0"/>
    <w:rsid w:val="002529A4"/>
    <w:rsid w:val="00264309"/>
    <w:rsid w:val="00265165"/>
    <w:rsid w:val="00271558"/>
    <w:rsid w:val="00271B91"/>
    <w:rsid w:val="002725B6"/>
    <w:rsid w:val="0027518B"/>
    <w:rsid w:val="002778D2"/>
    <w:rsid w:val="002825F4"/>
    <w:rsid w:val="002848F3"/>
    <w:rsid w:val="0028627A"/>
    <w:rsid w:val="00291295"/>
    <w:rsid w:val="00291403"/>
    <w:rsid w:val="00293A5C"/>
    <w:rsid w:val="002954BA"/>
    <w:rsid w:val="002A0498"/>
    <w:rsid w:val="002A494B"/>
    <w:rsid w:val="002A4C16"/>
    <w:rsid w:val="002A7DAE"/>
    <w:rsid w:val="002B69AE"/>
    <w:rsid w:val="002B712E"/>
    <w:rsid w:val="002C31D6"/>
    <w:rsid w:val="002D03C1"/>
    <w:rsid w:val="002D10FE"/>
    <w:rsid w:val="002D13B0"/>
    <w:rsid w:val="002D7331"/>
    <w:rsid w:val="002E043F"/>
    <w:rsid w:val="002E0BB1"/>
    <w:rsid w:val="002E343C"/>
    <w:rsid w:val="002F2794"/>
    <w:rsid w:val="002F3117"/>
    <w:rsid w:val="00301DA6"/>
    <w:rsid w:val="0030599A"/>
    <w:rsid w:val="003179A1"/>
    <w:rsid w:val="003218C6"/>
    <w:rsid w:val="003225B3"/>
    <w:rsid w:val="0032305A"/>
    <w:rsid w:val="00334796"/>
    <w:rsid w:val="00336E12"/>
    <w:rsid w:val="0034668F"/>
    <w:rsid w:val="00347871"/>
    <w:rsid w:val="00353623"/>
    <w:rsid w:val="003567C2"/>
    <w:rsid w:val="00356E4E"/>
    <w:rsid w:val="00360360"/>
    <w:rsid w:val="00363A92"/>
    <w:rsid w:val="00372DDF"/>
    <w:rsid w:val="00373035"/>
    <w:rsid w:val="00381DDB"/>
    <w:rsid w:val="00383F6F"/>
    <w:rsid w:val="003A2B83"/>
    <w:rsid w:val="003A4E40"/>
    <w:rsid w:val="003B2A97"/>
    <w:rsid w:val="003B31F9"/>
    <w:rsid w:val="003B69E6"/>
    <w:rsid w:val="003C11FC"/>
    <w:rsid w:val="003C3968"/>
    <w:rsid w:val="003C5D60"/>
    <w:rsid w:val="003D04F4"/>
    <w:rsid w:val="003D0625"/>
    <w:rsid w:val="003D2CA3"/>
    <w:rsid w:val="003D4085"/>
    <w:rsid w:val="003D71FA"/>
    <w:rsid w:val="003F1E53"/>
    <w:rsid w:val="003F31B8"/>
    <w:rsid w:val="003F6B41"/>
    <w:rsid w:val="004019B9"/>
    <w:rsid w:val="00403D05"/>
    <w:rsid w:val="00404C0F"/>
    <w:rsid w:val="004060F5"/>
    <w:rsid w:val="00420A1B"/>
    <w:rsid w:val="00425753"/>
    <w:rsid w:val="00425E5F"/>
    <w:rsid w:val="004310A4"/>
    <w:rsid w:val="00432171"/>
    <w:rsid w:val="00432F14"/>
    <w:rsid w:val="004372EA"/>
    <w:rsid w:val="00437E94"/>
    <w:rsid w:val="004438FC"/>
    <w:rsid w:val="0044596A"/>
    <w:rsid w:val="00452E98"/>
    <w:rsid w:val="0045366B"/>
    <w:rsid w:val="00462440"/>
    <w:rsid w:val="004658EB"/>
    <w:rsid w:val="00466325"/>
    <w:rsid w:val="00475167"/>
    <w:rsid w:val="00482024"/>
    <w:rsid w:val="00487B7B"/>
    <w:rsid w:val="00487BF4"/>
    <w:rsid w:val="004973D5"/>
    <w:rsid w:val="004A3FE8"/>
    <w:rsid w:val="004A4403"/>
    <w:rsid w:val="004B06CB"/>
    <w:rsid w:val="004B0834"/>
    <w:rsid w:val="004C574C"/>
    <w:rsid w:val="004C6A77"/>
    <w:rsid w:val="004E30A3"/>
    <w:rsid w:val="004E67D5"/>
    <w:rsid w:val="004E6BD4"/>
    <w:rsid w:val="004F3FA6"/>
    <w:rsid w:val="004F5A74"/>
    <w:rsid w:val="004F617E"/>
    <w:rsid w:val="004F7E48"/>
    <w:rsid w:val="00502AC9"/>
    <w:rsid w:val="00506193"/>
    <w:rsid w:val="00510849"/>
    <w:rsid w:val="0051536D"/>
    <w:rsid w:val="0052176E"/>
    <w:rsid w:val="005236A8"/>
    <w:rsid w:val="005260F3"/>
    <w:rsid w:val="00527547"/>
    <w:rsid w:val="005338D6"/>
    <w:rsid w:val="00545B83"/>
    <w:rsid w:val="00546840"/>
    <w:rsid w:val="00546B0E"/>
    <w:rsid w:val="0055060A"/>
    <w:rsid w:val="00550B49"/>
    <w:rsid w:val="00550D56"/>
    <w:rsid w:val="00551469"/>
    <w:rsid w:val="00554997"/>
    <w:rsid w:val="0055600C"/>
    <w:rsid w:val="00562433"/>
    <w:rsid w:val="005626F2"/>
    <w:rsid w:val="0056571D"/>
    <w:rsid w:val="00573BB3"/>
    <w:rsid w:val="00574F6D"/>
    <w:rsid w:val="00575FD2"/>
    <w:rsid w:val="00577798"/>
    <w:rsid w:val="00577FE9"/>
    <w:rsid w:val="0058017C"/>
    <w:rsid w:val="005850BA"/>
    <w:rsid w:val="005853FD"/>
    <w:rsid w:val="005904B1"/>
    <w:rsid w:val="00595DBE"/>
    <w:rsid w:val="005A4440"/>
    <w:rsid w:val="005B0A1B"/>
    <w:rsid w:val="005B5951"/>
    <w:rsid w:val="005B6954"/>
    <w:rsid w:val="005C2BF2"/>
    <w:rsid w:val="005C4BED"/>
    <w:rsid w:val="005D1E4A"/>
    <w:rsid w:val="005E05A8"/>
    <w:rsid w:val="005E2F8B"/>
    <w:rsid w:val="005E5322"/>
    <w:rsid w:val="005E6009"/>
    <w:rsid w:val="005F03A3"/>
    <w:rsid w:val="005F3707"/>
    <w:rsid w:val="005F4AEF"/>
    <w:rsid w:val="005F6DFF"/>
    <w:rsid w:val="00603ABB"/>
    <w:rsid w:val="00607888"/>
    <w:rsid w:val="006110CF"/>
    <w:rsid w:val="00611CA7"/>
    <w:rsid w:val="00613E22"/>
    <w:rsid w:val="00627798"/>
    <w:rsid w:val="0063384E"/>
    <w:rsid w:val="0063536F"/>
    <w:rsid w:val="00637452"/>
    <w:rsid w:val="006426AB"/>
    <w:rsid w:val="006428D8"/>
    <w:rsid w:val="00643173"/>
    <w:rsid w:val="006555C9"/>
    <w:rsid w:val="00662D9E"/>
    <w:rsid w:val="006717D2"/>
    <w:rsid w:val="00672CAD"/>
    <w:rsid w:val="006838D9"/>
    <w:rsid w:val="00683B87"/>
    <w:rsid w:val="006854EB"/>
    <w:rsid w:val="00685FB9"/>
    <w:rsid w:val="006900D4"/>
    <w:rsid w:val="006931F8"/>
    <w:rsid w:val="0069346C"/>
    <w:rsid w:val="006963CA"/>
    <w:rsid w:val="006A1635"/>
    <w:rsid w:val="006B0941"/>
    <w:rsid w:val="006B6FB6"/>
    <w:rsid w:val="006C0224"/>
    <w:rsid w:val="006C23D2"/>
    <w:rsid w:val="006C29AB"/>
    <w:rsid w:val="006C48E4"/>
    <w:rsid w:val="006E5A39"/>
    <w:rsid w:val="006E7C72"/>
    <w:rsid w:val="0070105A"/>
    <w:rsid w:val="00706A62"/>
    <w:rsid w:val="00707CFF"/>
    <w:rsid w:val="00711F36"/>
    <w:rsid w:val="00712501"/>
    <w:rsid w:val="00713B52"/>
    <w:rsid w:val="00715050"/>
    <w:rsid w:val="00717A77"/>
    <w:rsid w:val="00720B45"/>
    <w:rsid w:val="007223A2"/>
    <w:rsid w:val="00723707"/>
    <w:rsid w:val="00754DA8"/>
    <w:rsid w:val="0075633A"/>
    <w:rsid w:val="00763B86"/>
    <w:rsid w:val="00767C7E"/>
    <w:rsid w:val="00773715"/>
    <w:rsid w:val="00775D18"/>
    <w:rsid w:val="007807EA"/>
    <w:rsid w:val="00781A2C"/>
    <w:rsid w:val="00782FBD"/>
    <w:rsid w:val="00784C48"/>
    <w:rsid w:val="007851FF"/>
    <w:rsid w:val="00785B51"/>
    <w:rsid w:val="00786358"/>
    <w:rsid w:val="00797EDE"/>
    <w:rsid w:val="007A3638"/>
    <w:rsid w:val="007A5A56"/>
    <w:rsid w:val="007B1451"/>
    <w:rsid w:val="007B202D"/>
    <w:rsid w:val="007B6922"/>
    <w:rsid w:val="007C0B79"/>
    <w:rsid w:val="007C3A23"/>
    <w:rsid w:val="007D01D1"/>
    <w:rsid w:val="007D0741"/>
    <w:rsid w:val="007D2A24"/>
    <w:rsid w:val="007D67C2"/>
    <w:rsid w:val="007E1807"/>
    <w:rsid w:val="007E75D2"/>
    <w:rsid w:val="007F095E"/>
    <w:rsid w:val="008052DA"/>
    <w:rsid w:val="0081223E"/>
    <w:rsid w:val="0081627C"/>
    <w:rsid w:val="00823F66"/>
    <w:rsid w:val="0083012B"/>
    <w:rsid w:val="00830C9D"/>
    <w:rsid w:val="00831781"/>
    <w:rsid w:val="008334D8"/>
    <w:rsid w:val="00834412"/>
    <w:rsid w:val="0083719A"/>
    <w:rsid w:val="0084086D"/>
    <w:rsid w:val="0085016D"/>
    <w:rsid w:val="00851819"/>
    <w:rsid w:val="00851D82"/>
    <w:rsid w:val="00852057"/>
    <w:rsid w:val="0085477B"/>
    <w:rsid w:val="00855ED5"/>
    <w:rsid w:val="00864181"/>
    <w:rsid w:val="00864A31"/>
    <w:rsid w:val="00866CD2"/>
    <w:rsid w:val="00872ADA"/>
    <w:rsid w:val="00877B15"/>
    <w:rsid w:val="00890038"/>
    <w:rsid w:val="008B03CA"/>
    <w:rsid w:val="008B5A10"/>
    <w:rsid w:val="008B5AE5"/>
    <w:rsid w:val="008B7DD1"/>
    <w:rsid w:val="008C42B2"/>
    <w:rsid w:val="008C6950"/>
    <w:rsid w:val="008C7D24"/>
    <w:rsid w:val="008E24CA"/>
    <w:rsid w:val="008E2838"/>
    <w:rsid w:val="008E3F15"/>
    <w:rsid w:val="008E5856"/>
    <w:rsid w:val="008F113F"/>
    <w:rsid w:val="008F459B"/>
    <w:rsid w:val="008F7283"/>
    <w:rsid w:val="008F7705"/>
    <w:rsid w:val="00901543"/>
    <w:rsid w:val="00901789"/>
    <w:rsid w:val="00901F5D"/>
    <w:rsid w:val="00904B0B"/>
    <w:rsid w:val="009074F2"/>
    <w:rsid w:val="009135EE"/>
    <w:rsid w:val="0091372E"/>
    <w:rsid w:val="009140F6"/>
    <w:rsid w:val="009166A4"/>
    <w:rsid w:val="00917568"/>
    <w:rsid w:val="0092057A"/>
    <w:rsid w:val="0092179A"/>
    <w:rsid w:val="00926116"/>
    <w:rsid w:val="00930BBA"/>
    <w:rsid w:val="009326D6"/>
    <w:rsid w:val="00932FC0"/>
    <w:rsid w:val="0093323D"/>
    <w:rsid w:val="0094078A"/>
    <w:rsid w:val="00940975"/>
    <w:rsid w:val="00942C9D"/>
    <w:rsid w:val="00944D2F"/>
    <w:rsid w:val="00952EAE"/>
    <w:rsid w:val="00956DA0"/>
    <w:rsid w:val="00957996"/>
    <w:rsid w:val="00960D7B"/>
    <w:rsid w:val="00966BCC"/>
    <w:rsid w:val="00971C95"/>
    <w:rsid w:val="009722C2"/>
    <w:rsid w:val="00973D10"/>
    <w:rsid w:val="00974B3C"/>
    <w:rsid w:val="00976D32"/>
    <w:rsid w:val="00985FA2"/>
    <w:rsid w:val="00986E61"/>
    <w:rsid w:val="00987D13"/>
    <w:rsid w:val="009908CD"/>
    <w:rsid w:val="009946DB"/>
    <w:rsid w:val="009972A0"/>
    <w:rsid w:val="009A003F"/>
    <w:rsid w:val="009A008B"/>
    <w:rsid w:val="009A6819"/>
    <w:rsid w:val="009B0206"/>
    <w:rsid w:val="009C09B7"/>
    <w:rsid w:val="009C3DAE"/>
    <w:rsid w:val="009C5729"/>
    <w:rsid w:val="009D31D7"/>
    <w:rsid w:val="009D5C30"/>
    <w:rsid w:val="009F5613"/>
    <w:rsid w:val="009F6218"/>
    <w:rsid w:val="00A02562"/>
    <w:rsid w:val="00A03057"/>
    <w:rsid w:val="00A14715"/>
    <w:rsid w:val="00A209E0"/>
    <w:rsid w:val="00A229A9"/>
    <w:rsid w:val="00A22D6B"/>
    <w:rsid w:val="00A22DA3"/>
    <w:rsid w:val="00A24360"/>
    <w:rsid w:val="00A25D1B"/>
    <w:rsid w:val="00A26278"/>
    <w:rsid w:val="00A27E51"/>
    <w:rsid w:val="00A3732F"/>
    <w:rsid w:val="00A45C0A"/>
    <w:rsid w:val="00A46676"/>
    <w:rsid w:val="00A47624"/>
    <w:rsid w:val="00A476D2"/>
    <w:rsid w:val="00A50C64"/>
    <w:rsid w:val="00A5188F"/>
    <w:rsid w:val="00A56B8A"/>
    <w:rsid w:val="00A578BC"/>
    <w:rsid w:val="00A579FA"/>
    <w:rsid w:val="00A632C5"/>
    <w:rsid w:val="00A714F5"/>
    <w:rsid w:val="00A801B9"/>
    <w:rsid w:val="00A8302C"/>
    <w:rsid w:val="00A87CE6"/>
    <w:rsid w:val="00A918F6"/>
    <w:rsid w:val="00AA27DB"/>
    <w:rsid w:val="00AA3A18"/>
    <w:rsid w:val="00AA42C2"/>
    <w:rsid w:val="00AA6961"/>
    <w:rsid w:val="00AB2A16"/>
    <w:rsid w:val="00AB4205"/>
    <w:rsid w:val="00AB49C0"/>
    <w:rsid w:val="00AB61F2"/>
    <w:rsid w:val="00AC058D"/>
    <w:rsid w:val="00AD32ED"/>
    <w:rsid w:val="00AE3DCB"/>
    <w:rsid w:val="00B022F7"/>
    <w:rsid w:val="00B04365"/>
    <w:rsid w:val="00B07711"/>
    <w:rsid w:val="00B0786E"/>
    <w:rsid w:val="00B11F50"/>
    <w:rsid w:val="00B152BC"/>
    <w:rsid w:val="00B20D38"/>
    <w:rsid w:val="00B21D07"/>
    <w:rsid w:val="00B23ECB"/>
    <w:rsid w:val="00B249D6"/>
    <w:rsid w:val="00B421FB"/>
    <w:rsid w:val="00B433B8"/>
    <w:rsid w:val="00B43A16"/>
    <w:rsid w:val="00B535FF"/>
    <w:rsid w:val="00B53C31"/>
    <w:rsid w:val="00B566F5"/>
    <w:rsid w:val="00B620D8"/>
    <w:rsid w:val="00B63E9E"/>
    <w:rsid w:val="00B734A9"/>
    <w:rsid w:val="00B73F1C"/>
    <w:rsid w:val="00B74122"/>
    <w:rsid w:val="00B779F1"/>
    <w:rsid w:val="00B800A5"/>
    <w:rsid w:val="00B803E5"/>
    <w:rsid w:val="00B81E5F"/>
    <w:rsid w:val="00B93542"/>
    <w:rsid w:val="00BA216A"/>
    <w:rsid w:val="00BA6D9F"/>
    <w:rsid w:val="00BB2009"/>
    <w:rsid w:val="00BB38BF"/>
    <w:rsid w:val="00BB5EE3"/>
    <w:rsid w:val="00BB6C39"/>
    <w:rsid w:val="00BC3A17"/>
    <w:rsid w:val="00BC5B9F"/>
    <w:rsid w:val="00BC7ADB"/>
    <w:rsid w:val="00BD1A8B"/>
    <w:rsid w:val="00BD3675"/>
    <w:rsid w:val="00BE174E"/>
    <w:rsid w:val="00BE19B8"/>
    <w:rsid w:val="00BE1E53"/>
    <w:rsid w:val="00BE35FC"/>
    <w:rsid w:val="00BE4E9B"/>
    <w:rsid w:val="00BE5586"/>
    <w:rsid w:val="00BF07FE"/>
    <w:rsid w:val="00BF3E41"/>
    <w:rsid w:val="00BF45EF"/>
    <w:rsid w:val="00C03C67"/>
    <w:rsid w:val="00C03EFA"/>
    <w:rsid w:val="00C10502"/>
    <w:rsid w:val="00C1142F"/>
    <w:rsid w:val="00C14E0B"/>
    <w:rsid w:val="00C23647"/>
    <w:rsid w:val="00C24C9D"/>
    <w:rsid w:val="00C2655D"/>
    <w:rsid w:val="00C30F9E"/>
    <w:rsid w:val="00C40C50"/>
    <w:rsid w:val="00C412B5"/>
    <w:rsid w:val="00C45D49"/>
    <w:rsid w:val="00C46756"/>
    <w:rsid w:val="00C53AE0"/>
    <w:rsid w:val="00C55098"/>
    <w:rsid w:val="00C57EAF"/>
    <w:rsid w:val="00C66CE1"/>
    <w:rsid w:val="00C732FE"/>
    <w:rsid w:val="00C76AC4"/>
    <w:rsid w:val="00C77066"/>
    <w:rsid w:val="00C811FB"/>
    <w:rsid w:val="00C82C9C"/>
    <w:rsid w:val="00C93039"/>
    <w:rsid w:val="00C94D5B"/>
    <w:rsid w:val="00CA7735"/>
    <w:rsid w:val="00CA7C37"/>
    <w:rsid w:val="00CB1095"/>
    <w:rsid w:val="00CB148F"/>
    <w:rsid w:val="00CB3784"/>
    <w:rsid w:val="00CB4A12"/>
    <w:rsid w:val="00CC11B4"/>
    <w:rsid w:val="00CD0361"/>
    <w:rsid w:val="00CE0C00"/>
    <w:rsid w:val="00CE166A"/>
    <w:rsid w:val="00CE6671"/>
    <w:rsid w:val="00CE7233"/>
    <w:rsid w:val="00CF02C0"/>
    <w:rsid w:val="00CF7A53"/>
    <w:rsid w:val="00D00C57"/>
    <w:rsid w:val="00D048E4"/>
    <w:rsid w:val="00D068AB"/>
    <w:rsid w:val="00D12205"/>
    <w:rsid w:val="00D1763A"/>
    <w:rsid w:val="00D21F21"/>
    <w:rsid w:val="00D22ADD"/>
    <w:rsid w:val="00D30037"/>
    <w:rsid w:val="00D33543"/>
    <w:rsid w:val="00D33E95"/>
    <w:rsid w:val="00D51397"/>
    <w:rsid w:val="00D53E3D"/>
    <w:rsid w:val="00D63997"/>
    <w:rsid w:val="00D64F42"/>
    <w:rsid w:val="00D6542B"/>
    <w:rsid w:val="00D65747"/>
    <w:rsid w:val="00D65ED1"/>
    <w:rsid w:val="00D71E24"/>
    <w:rsid w:val="00D93042"/>
    <w:rsid w:val="00D9568C"/>
    <w:rsid w:val="00DA5708"/>
    <w:rsid w:val="00DB3DFA"/>
    <w:rsid w:val="00DB4B27"/>
    <w:rsid w:val="00DB78DD"/>
    <w:rsid w:val="00DC4305"/>
    <w:rsid w:val="00DC5F1D"/>
    <w:rsid w:val="00DD151A"/>
    <w:rsid w:val="00DD7B0A"/>
    <w:rsid w:val="00DE08BA"/>
    <w:rsid w:val="00DE1B67"/>
    <w:rsid w:val="00E06C0C"/>
    <w:rsid w:val="00E15B0D"/>
    <w:rsid w:val="00E21588"/>
    <w:rsid w:val="00E30E77"/>
    <w:rsid w:val="00E31BF6"/>
    <w:rsid w:val="00E36EA6"/>
    <w:rsid w:val="00E3771A"/>
    <w:rsid w:val="00E37DD6"/>
    <w:rsid w:val="00E40041"/>
    <w:rsid w:val="00E43E66"/>
    <w:rsid w:val="00E5159D"/>
    <w:rsid w:val="00E54174"/>
    <w:rsid w:val="00E57F9F"/>
    <w:rsid w:val="00E71F81"/>
    <w:rsid w:val="00E80475"/>
    <w:rsid w:val="00E97E30"/>
    <w:rsid w:val="00EA206F"/>
    <w:rsid w:val="00EA4BC0"/>
    <w:rsid w:val="00EA62CB"/>
    <w:rsid w:val="00EA7D7B"/>
    <w:rsid w:val="00EB3F59"/>
    <w:rsid w:val="00EB62E0"/>
    <w:rsid w:val="00EC1E33"/>
    <w:rsid w:val="00EC304C"/>
    <w:rsid w:val="00EC38A1"/>
    <w:rsid w:val="00ED5D60"/>
    <w:rsid w:val="00ED78DD"/>
    <w:rsid w:val="00ED7A74"/>
    <w:rsid w:val="00EE437B"/>
    <w:rsid w:val="00EE4B17"/>
    <w:rsid w:val="00EE4C1D"/>
    <w:rsid w:val="00EF2CB2"/>
    <w:rsid w:val="00EF3ACD"/>
    <w:rsid w:val="00EF3AFB"/>
    <w:rsid w:val="00EF4260"/>
    <w:rsid w:val="00EF523A"/>
    <w:rsid w:val="00EF6B16"/>
    <w:rsid w:val="00F01026"/>
    <w:rsid w:val="00F03E12"/>
    <w:rsid w:val="00F04112"/>
    <w:rsid w:val="00F13584"/>
    <w:rsid w:val="00F17C4C"/>
    <w:rsid w:val="00F17C84"/>
    <w:rsid w:val="00F3030F"/>
    <w:rsid w:val="00F37408"/>
    <w:rsid w:val="00F37FB7"/>
    <w:rsid w:val="00F41223"/>
    <w:rsid w:val="00F415A9"/>
    <w:rsid w:val="00F42AF0"/>
    <w:rsid w:val="00F476CC"/>
    <w:rsid w:val="00F54087"/>
    <w:rsid w:val="00F64EBF"/>
    <w:rsid w:val="00F67698"/>
    <w:rsid w:val="00F751C8"/>
    <w:rsid w:val="00F75D11"/>
    <w:rsid w:val="00F87520"/>
    <w:rsid w:val="00F92EB1"/>
    <w:rsid w:val="00F93643"/>
    <w:rsid w:val="00FA3549"/>
    <w:rsid w:val="00FB0D0A"/>
    <w:rsid w:val="00FC59F7"/>
    <w:rsid w:val="00FC5FB9"/>
    <w:rsid w:val="00FC75FB"/>
    <w:rsid w:val="00FD1B58"/>
    <w:rsid w:val="00FD33DF"/>
    <w:rsid w:val="00FD431A"/>
    <w:rsid w:val="00FE3BF7"/>
    <w:rsid w:val="00FE5107"/>
    <w:rsid w:val="00FE70BE"/>
    <w:rsid w:val="00FF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5751B"/>
  <w15:docId w15:val="{F09E14B7-77A2-40A0-97A5-E2EC103C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36F"/>
    <w:rPr>
      <w:rFonts w:ascii="Arial" w:hAnsi="Arial"/>
      <w:sz w:val="24"/>
      <w:lang w:eastAsia="en-US"/>
    </w:rPr>
  </w:style>
  <w:style w:type="paragraph" w:styleId="Heading1">
    <w:name w:val="heading 1"/>
    <w:basedOn w:val="Normal"/>
    <w:next w:val="Normal"/>
    <w:link w:val="Heading1Char"/>
    <w:qFormat/>
    <w:rsid w:val="00973D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122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1223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8122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122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1223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1223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1223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122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3F1C"/>
    <w:pPr>
      <w:tabs>
        <w:tab w:val="center" w:pos="4320"/>
        <w:tab w:val="right" w:pos="8640"/>
      </w:tabs>
    </w:pPr>
  </w:style>
  <w:style w:type="paragraph" w:styleId="Footer">
    <w:name w:val="footer"/>
    <w:basedOn w:val="Normal"/>
    <w:link w:val="FooterChar"/>
    <w:rsid w:val="00B73F1C"/>
    <w:pPr>
      <w:tabs>
        <w:tab w:val="center" w:pos="4320"/>
        <w:tab w:val="right" w:pos="8640"/>
      </w:tabs>
    </w:pPr>
  </w:style>
  <w:style w:type="table" w:styleId="TableGrid">
    <w:name w:val="Table Grid"/>
    <w:basedOn w:val="TableNormal"/>
    <w:rsid w:val="009C57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4B3C"/>
    <w:rPr>
      <w:color w:val="0000FF"/>
      <w:u w:val="single"/>
    </w:rPr>
  </w:style>
  <w:style w:type="character" w:styleId="PageNumber">
    <w:name w:val="page number"/>
    <w:basedOn w:val="DefaultParagraphFont"/>
    <w:rsid w:val="00D64F42"/>
  </w:style>
  <w:style w:type="character" w:styleId="FollowedHyperlink">
    <w:name w:val="FollowedHyperlink"/>
    <w:basedOn w:val="DefaultParagraphFont"/>
    <w:rsid w:val="002B69AE"/>
    <w:rPr>
      <w:color w:val="800080"/>
      <w:u w:val="single"/>
    </w:rPr>
  </w:style>
  <w:style w:type="paragraph" w:styleId="BalloonText">
    <w:name w:val="Balloon Text"/>
    <w:basedOn w:val="Normal"/>
    <w:link w:val="BalloonTextChar"/>
    <w:rsid w:val="0003278C"/>
    <w:rPr>
      <w:rFonts w:ascii="Tahoma" w:hAnsi="Tahoma" w:cs="Tahoma"/>
      <w:sz w:val="16"/>
      <w:szCs w:val="16"/>
    </w:rPr>
  </w:style>
  <w:style w:type="character" w:customStyle="1" w:styleId="BalloonTextChar">
    <w:name w:val="Balloon Text Char"/>
    <w:basedOn w:val="DefaultParagraphFont"/>
    <w:link w:val="BalloonText"/>
    <w:rsid w:val="0003278C"/>
    <w:rPr>
      <w:rFonts w:ascii="Tahoma" w:hAnsi="Tahoma" w:cs="Tahoma"/>
      <w:sz w:val="16"/>
      <w:szCs w:val="16"/>
    </w:rPr>
  </w:style>
  <w:style w:type="paragraph" w:styleId="ListParagraph">
    <w:name w:val="List Paragraph"/>
    <w:basedOn w:val="Normal"/>
    <w:uiPriority w:val="34"/>
    <w:qFormat/>
    <w:rsid w:val="001F17BB"/>
    <w:pPr>
      <w:ind w:left="720"/>
      <w:contextualSpacing/>
    </w:pPr>
  </w:style>
  <w:style w:type="character" w:styleId="UnresolvedMention">
    <w:name w:val="Unresolved Mention"/>
    <w:basedOn w:val="DefaultParagraphFont"/>
    <w:uiPriority w:val="99"/>
    <w:semiHidden/>
    <w:unhideWhenUsed/>
    <w:rsid w:val="002361F1"/>
    <w:rPr>
      <w:color w:val="605E5C"/>
      <w:shd w:val="clear" w:color="auto" w:fill="E1DFDD"/>
    </w:rPr>
  </w:style>
  <w:style w:type="character" w:customStyle="1" w:styleId="HeaderChar">
    <w:name w:val="Header Char"/>
    <w:basedOn w:val="DefaultParagraphFont"/>
    <w:link w:val="Header"/>
    <w:rsid w:val="008E5856"/>
    <w:rPr>
      <w:rFonts w:ascii="Arial" w:hAnsi="Arial"/>
      <w:sz w:val="24"/>
      <w:lang w:eastAsia="en-US"/>
    </w:rPr>
  </w:style>
  <w:style w:type="character" w:customStyle="1" w:styleId="Heading1Char">
    <w:name w:val="Heading 1 Char"/>
    <w:basedOn w:val="DefaultParagraphFont"/>
    <w:link w:val="Heading1"/>
    <w:rsid w:val="00973D10"/>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A56B8A"/>
    <w:pPr>
      <w:spacing w:line="259" w:lineRule="auto"/>
      <w:outlineLvl w:val="9"/>
    </w:pPr>
  </w:style>
  <w:style w:type="paragraph" w:styleId="TOC1">
    <w:name w:val="toc 1"/>
    <w:basedOn w:val="Normal"/>
    <w:next w:val="Normal"/>
    <w:autoRedefine/>
    <w:uiPriority w:val="39"/>
    <w:unhideWhenUsed/>
    <w:rsid w:val="00A56B8A"/>
    <w:pPr>
      <w:spacing w:after="100"/>
    </w:pPr>
  </w:style>
  <w:style w:type="character" w:customStyle="1" w:styleId="FooterChar">
    <w:name w:val="Footer Char"/>
    <w:basedOn w:val="DefaultParagraphFont"/>
    <w:link w:val="Footer"/>
    <w:rsid w:val="0075633A"/>
    <w:rPr>
      <w:rFonts w:ascii="Arial" w:hAnsi="Arial"/>
      <w:sz w:val="24"/>
      <w:lang w:eastAsia="en-US"/>
    </w:rPr>
  </w:style>
  <w:style w:type="paragraph" w:customStyle="1" w:styleId="Default">
    <w:name w:val="Default"/>
    <w:rsid w:val="003B31F9"/>
    <w:pPr>
      <w:autoSpaceDE w:val="0"/>
      <w:autoSpaceDN w:val="0"/>
      <w:adjustRightInd w:val="0"/>
    </w:pPr>
    <w:rPr>
      <w:rFonts w:ascii="Roboto" w:hAnsi="Roboto" w:cs="Roboto"/>
      <w:color w:val="000000"/>
      <w:sz w:val="24"/>
      <w:szCs w:val="24"/>
    </w:rPr>
  </w:style>
  <w:style w:type="paragraph" w:styleId="TOC2">
    <w:name w:val="toc 2"/>
    <w:basedOn w:val="Normal"/>
    <w:next w:val="Normal"/>
    <w:autoRedefine/>
    <w:uiPriority w:val="39"/>
    <w:unhideWhenUsed/>
    <w:rsid w:val="00957996"/>
    <w:pPr>
      <w:spacing w:after="100" w:line="259" w:lineRule="auto"/>
      <w:ind w:left="220"/>
    </w:pPr>
    <w:rPr>
      <w:rFonts w:eastAsiaTheme="minorEastAsia"/>
      <w:sz w:val="22"/>
      <w:szCs w:val="22"/>
    </w:rPr>
  </w:style>
  <w:style w:type="paragraph" w:styleId="TOC3">
    <w:name w:val="toc 3"/>
    <w:basedOn w:val="Normal"/>
    <w:next w:val="Normal"/>
    <w:autoRedefine/>
    <w:uiPriority w:val="39"/>
    <w:unhideWhenUsed/>
    <w:rsid w:val="00BD1A8B"/>
    <w:pPr>
      <w:spacing w:after="100" w:line="259" w:lineRule="auto"/>
      <w:ind w:left="440"/>
    </w:pPr>
    <w:rPr>
      <w:rFonts w:asciiTheme="minorHAnsi" w:eastAsiaTheme="minorEastAsia" w:hAnsiTheme="minorHAnsi"/>
      <w:sz w:val="22"/>
      <w:szCs w:val="22"/>
    </w:rPr>
  </w:style>
  <w:style w:type="character" w:styleId="Emphasis">
    <w:name w:val="Emphasis"/>
    <w:basedOn w:val="DefaultParagraphFont"/>
    <w:qFormat/>
    <w:rsid w:val="004E30A3"/>
    <w:rPr>
      <w:i/>
      <w:iCs/>
    </w:rPr>
  </w:style>
  <w:style w:type="character" w:customStyle="1" w:styleId="Heading2Char">
    <w:name w:val="Heading 2 Char"/>
    <w:basedOn w:val="DefaultParagraphFont"/>
    <w:link w:val="Heading2"/>
    <w:rsid w:val="0081223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81223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81223E"/>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semiHidden/>
    <w:rsid w:val="0081223E"/>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semiHidden/>
    <w:rsid w:val="0081223E"/>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semiHidden/>
    <w:rsid w:val="0081223E"/>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81223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81223E"/>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71610">
      <w:bodyDiv w:val="1"/>
      <w:marLeft w:val="0"/>
      <w:marRight w:val="0"/>
      <w:marTop w:val="0"/>
      <w:marBottom w:val="0"/>
      <w:divBdr>
        <w:top w:val="none" w:sz="0" w:space="0" w:color="auto"/>
        <w:left w:val="none" w:sz="0" w:space="0" w:color="auto"/>
        <w:bottom w:val="none" w:sz="0" w:space="0" w:color="auto"/>
        <w:right w:val="none" w:sz="0" w:space="0" w:color="auto"/>
      </w:divBdr>
    </w:div>
    <w:div w:id="1065490431">
      <w:bodyDiv w:val="1"/>
      <w:marLeft w:val="0"/>
      <w:marRight w:val="0"/>
      <w:marTop w:val="0"/>
      <w:marBottom w:val="0"/>
      <w:divBdr>
        <w:top w:val="none" w:sz="0" w:space="0" w:color="auto"/>
        <w:left w:val="none" w:sz="0" w:space="0" w:color="auto"/>
        <w:bottom w:val="none" w:sz="0" w:space="0" w:color="auto"/>
        <w:right w:val="none" w:sz="0" w:space="0" w:color="auto"/>
      </w:divBdr>
    </w:div>
    <w:div w:id="1810973870">
      <w:bodyDiv w:val="1"/>
      <w:marLeft w:val="0"/>
      <w:marRight w:val="0"/>
      <w:marTop w:val="0"/>
      <w:marBottom w:val="0"/>
      <w:divBdr>
        <w:top w:val="none" w:sz="0" w:space="0" w:color="auto"/>
        <w:left w:val="none" w:sz="0" w:space="0" w:color="auto"/>
        <w:bottom w:val="none" w:sz="0" w:space="0" w:color="auto"/>
        <w:right w:val="none" w:sz="0" w:space="0" w:color="auto"/>
      </w:divBdr>
    </w:div>
    <w:div w:id="208694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hyperlink" Target="https://idfl.com/directory" TargetMode="External"/><Relationship Id="rId21" Type="http://schemas.openxmlformats.org/officeDocument/2006/relationships/image" Target="media/image11.png"/><Relationship Id="rId34" Type="http://schemas.openxmlformats.org/officeDocument/2006/relationships/hyperlink" Target="https://cottonplatform.bettercotton.org/login/?targetUrl=/startpage/home?sectionid=1&amp;_gl=1*19dxb0s*_ga*ODI3MDg1OTExLjE2ODY2ODc4Njk.*_ga_F7PM35QYCV*MTcwNzc1NDgyNy4zNy4xLjE3MDc3NTUxMjUuMC4wLjA."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image" Target="media/image19.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svg"/><Relationship Id="rId37" Type="http://schemas.openxmlformats.org/officeDocument/2006/relationships/hyperlink" Target="https://bettercotton.org/traceability/" TargetMode="External"/><Relationship Id="rId40"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hyperlink" Target="https://bettercotton.org/membership/bcis-retailer-and-brand-membership/"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hyperlink" Target="https://bettercotton.org/chain-of-custody-standar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my.bettercotton.org/login?ec=302&amp;startURL=%2Fs%2F" TargetMode="External"/><Relationship Id="rId38" Type="http://schemas.openxmlformats.org/officeDocument/2006/relationships/hyperlink" Target="http://www.idfl.com/services/audits-certification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file:///C:\Users\bryan\Dropbox%20(Audits)\A4%20Audit%20Quality%20Management%20System\02%20QMS%20Records\8.3%20Document%20Change%20Request-Record%20(DCR)\DCR%20047%20-%20Update%20Multiple%20Standards%20(Chain%20of%20Custody)%20v4.0\idfl.com\directory" TargetMode="External"/><Relationship Id="rId2" Type="http://schemas.openxmlformats.org/officeDocument/2006/relationships/image" Target="media/image25.png"/><Relationship Id="rId1" Type="http://schemas.openxmlformats.org/officeDocument/2006/relationships/hyperlink" Target="file:///C:\Users\bryan\Dropbox%20(Audits)\A4%20Audit%20Quality%20Management%20System\02%20QMS%20Records\8.3%20Document%20Change%20Request-Record%20(DCR)\DCR%20047%20-%20Update%20Multiple%20Standards%20(Chain%20of%20Custody)%20v4.0\idfl.com\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FL\Dropbox%20(Audits)\1.3%20IDFL%20Marketing%20Toolbox\IDFL%20Templates\Document%20Templates\Document%20Templates\IDFL%20Single%20Language%20Landscape%20Document%20Template%20A4%20(JAN%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9359a62a-8a31-41d3-b533-057bb3565a7f" xsi:nil="true"/>
    <MigrationWizIdVersion xmlns="9359a62a-8a31-41d3-b533-057bb3565a7f" xsi:nil="true"/>
    <MigrationWizIdPermissions xmlns="9359a62a-8a31-41d3-b533-057bb3565a7f" xsi:nil="true"/>
    <_activity xmlns="9359a62a-8a31-41d3-b533-057bb3565a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BD83AA4708DC41A1FD5E1DB9FBCBC8" ma:contentTypeVersion="18" ma:contentTypeDescription="Create a new document." ma:contentTypeScope="" ma:versionID="9d7c2e9733bc9d3b572e2d176d451329">
  <xsd:schema xmlns:xsd="http://www.w3.org/2001/XMLSchema" xmlns:xs="http://www.w3.org/2001/XMLSchema" xmlns:p="http://schemas.microsoft.com/office/2006/metadata/properties" xmlns:ns3="9359a62a-8a31-41d3-b533-057bb3565a7f" xmlns:ns4="78dd2267-31c9-4f71-a81c-9ce123174619" targetNamespace="http://schemas.microsoft.com/office/2006/metadata/properties" ma:root="true" ma:fieldsID="20eb054d70889675d228d9af62abfb74" ns3:_="" ns4:_="">
    <xsd:import namespace="9359a62a-8a31-41d3-b533-057bb3565a7f"/>
    <xsd:import namespace="78dd2267-31c9-4f71-a81c-9ce123174619"/>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_activity" minOccurs="0"/>
                <xsd:element ref="ns3:MediaServiceGenerationTime" minOccurs="0"/>
                <xsd:element ref="ns3:MediaServiceEventHashCode"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9a62a-8a31-41d3-b533-057bb3565a7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d2267-31c9-4f71-a81c-9ce1231746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82CE09D-BE6D-41E4-AB59-890F83872361}">
  <ds:schemaRefs>
    <ds:schemaRef ds:uri="http://schemas.microsoft.com/office/2006/metadata/properties"/>
    <ds:schemaRef ds:uri="http://schemas.microsoft.com/office/infopath/2007/PartnerControls"/>
    <ds:schemaRef ds:uri="9359a62a-8a31-41d3-b533-057bb3565a7f"/>
  </ds:schemaRefs>
</ds:datastoreItem>
</file>

<file path=customXml/itemProps2.xml><?xml version="1.0" encoding="utf-8"?>
<ds:datastoreItem xmlns:ds="http://schemas.openxmlformats.org/officeDocument/2006/customXml" ds:itemID="{7E85827E-2686-4CB7-AAFE-D29489B3755B}">
  <ds:schemaRefs>
    <ds:schemaRef ds:uri="http://schemas.microsoft.com/sharepoint/v3/contenttype/forms"/>
  </ds:schemaRefs>
</ds:datastoreItem>
</file>

<file path=customXml/itemProps3.xml><?xml version="1.0" encoding="utf-8"?>
<ds:datastoreItem xmlns:ds="http://schemas.openxmlformats.org/officeDocument/2006/customXml" ds:itemID="{566DAE16-975A-43C7-98DB-D9BEDCC5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9a62a-8a31-41d3-b533-057bb3565a7f"/>
    <ds:schemaRef ds:uri="78dd2267-31c9-4f71-a81c-9ce123174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141E0-B0C4-4447-A814-BD9807D3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IDFL Single Language Landscape Document Template A4 (JAN 2018)</Template>
  <TotalTime>236</TotalTime>
  <Pages>9</Pages>
  <Words>2748</Words>
  <Characters>15664</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IDFL Document</vt:lpstr>
    </vt:vector>
  </TitlesOfParts>
  <Company>Grizli777</Company>
  <LinksUpToDate>false</LinksUpToDate>
  <CharactersWithSpaces>18376</CharactersWithSpaces>
  <SharedDoc>false</SharedDoc>
  <HLinks>
    <vt:vector size="24" baseType="variant">
      <vt:variant>
        <vt:i4>4653159</vt:i4>
      </vt:variant>
      <vt:variant>
        <vt:i4>12</vt:i4>
      </vt:variant>
      <vt:variant>
        <vt:i4>0</vt:i4>
      </vt:variant>
      <vt:variant>
        <vt:i4>5</vt:i4>
      </vt:variant>
      <vt:variant>
        <vt:lpwstr>mailto:china@idfl.com</vt:lpwstr>
      </vt:variant>
      <vt:variant>
        <vt:lpwstr/>
      </vt:variant>
      <vt:variant>
        <vt:i4>4391035</vt:i4>
      </vt:variant>
      <vt:variant>
        <vt:i4>9</vt:i4>
      </vt:variant>
      <vt:variant>
        <vt:i4>0</vt:i4>
      </vt:variant>
      <vt:variant>
        <vt:i4>5</vt:i4>
      </vt:variant>
      <vt:variant>
        <vt:lpwstr>mailto:europe@idfl.com</vt:lpwstr>
      </vt:variant>
      <vt:variant>
        <vt:lpwstr/>
      </vt:variant>
      <vt:variant>
        <vt:i4>2818053</vt:i4>
      </vt:variant>
      <vt:variant>
        <vt:i4>6</vt:i4>
      </vt:variant>
      <vt:variant>
        <vt:i4>0</vt:i4>
      </vt:variant>
      <vt:variant>
        <vt:i4>5</vt:i4>
      </vt:variant>
      <vt:variant>
        <vt:lpwstr>mailto:info@idfl.com</vt:lpwstr>
      </vt:variant>
      <vt:variant>
        <vt:lpwstr/>
      </vt:variant>
      <vt:variant>
        <vt:i4>6225998</vt:i4>
      </vt:variant>
      <vt:variant>
        <vt:i4>3</vt:i4>
      </vt:variant>
      <vt:variant>
        <vt:i4>0</vt:i4>
      </vt:variant>
      <vt:variant>
        <vt:i4>5</vt:i4>
      </vt:variant>
      <vt:variant>
        <vt:lpwstr>www.idfl.com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IDFL Document</dc:title>
  <dc:subject/>
  <dc:creator>IDFL</dc:creator>
  <cp:keywords/>
  <dc:description/>
  <cp:lastModifiedBy>Amphay Kounthong</cp:lastModifiedBy>
  <cp:revision>108</cp:revision>
  <cp:lastPrinted>2020-03-04T20:28:00Z</cp:lastPrinted>
  <dcterms:created xsi:type="dcterms:W3CDTF">2024-02-06T22:57:00Z</dcterms:created>
  <dcterms:modified xsi:type="dcterms:W3CDTF">2024-06-25T13:50:00Z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0x01010099BD83AA4708DC41A1FD5E1DB9FBCBC8</vt:lpwstr>
  </property>
</Properties>
</file>